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71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771"/>
      </w:pPr>
      <w:r/>
      <w:r/>
    </w:p>
    <w:p>
      <w:pPr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jc w:val="both"/>
        <w:spacing w:after="0" w:line="240" w:lineRule="auto"/>
        <w:rPr>
          <w:rFonts w:ascii="Inter" w:hAnsi="Inter" w:cs="Segoe UI"/>
          <w:sz w:val="24"/>
          <w:szCs w:val="24"/>
        </w:rPr>
      </w:pPr>
      <w:r>
        <w:rPr>
          <w:rFonts w:ascii="Inter" w:hAnsi="Inter" w:cs="Segoe UI"/>
          <w:sz w:val="24"/>
          <w:szCs w:val="24"/>
        </w:rPr>
        <w:t xml:space="preserve">«Телефон доверия» </w:t>
      </w:r>
      <w:r>
        <w:rPr>
          <w:rFonts w:ascii="Inter" w:hAnsi="Inter" w:cs="Segoe UI"/>
          <w:sz w:val="24"/>
          <w:szCs w:val="24"/>
        </w:rPr>
        <w:t xml:space="preserve">забайкальско</w:t>
      </w:r>
      <w:r>
        <w:rPr>
          <w:rFonts w:ascii="Inter" w:hAnsi="Inter" w:cs="Segoe UI"/>
          <w:sz w:val="24"/>
          <w:szCs w:val="24"/>
        </w:rPr>
        <w:t xml:space="preserve">го </w:t>
      </w:r>
      <w:r>
        <w:rPr>
          <w:rFonts w:ascii="Inter" w:hAnsi="Inter" w:cs="Segoe UI"/>
          <w:sz w:val="24"/>
          <w:szCs w:val="24"/>
        </w:rPr>
        <w:t xml:space="preserve">Росреестр</w:t>
      </w:r>
      <w:r>
        <w:rPr>
          <w:rFonts w:ascii="Inter" w:hAnsi="Inter" w:cs="Segoe UI"/>
          <w:sz w:val="24"/>
          <w:szCs w:val="24"/>
        </w:rPr>
        <w:t xml:space="preserve">а</w:t>
      </w:r>
      <w:r>
        <w:rPr>
          <w:rFonts w:ascii="Inter" w:hAnsi="Inter" w:cs="Segoe UI"/>
          <w:sz w:val="24"/>
          <w:szCs w:val="24"/>
        </w:rPr>
      </w:r>
    </w:p>
    <w:p>
      <w:pPr>
        <w:jc w:val="both"/>
        <w:spacing w:after="0" w:line="240" w:lineRule="auto"/>
        <w:rPr>
          <w:rFonts w:ascii="Inter" w:hAnsi="Inter" w:cs="Segoe UI"/>
          <w:sz w:val="24"/>
          <w:szCs w:val="24"/>
        </w:rPr>
      </w:pPr>
      <w:r>
        <w:rPr>
          <w:rFonts w:ascii="Inter" w:hAnsi="Inter" w:cs="Segoe UI"/>
          <w:sz w:val="24"/>
          <w:szCs w:val="24"/>
        </w:rPr>
      </w:r>
      <w:r>
        <w:rPr>
          <w:rFonts w:ascii="Inter" w:hAnsi="Inter" w:cs="Segoe UI"/>
          <w:sz w:val="24"/>
          <w:szCs w:val="24"/>
        </w:rPr>
      </w:r>
    </w:p>
    <w:p>
      <w:pPr>
        <w:contextualSpacing w:val="0"/>
        <w:ind w:left="0" w:right="0" w:firstLine="567"/>
        <w:jc w:val="both"/>
        <w:spacing w:before="57" w:after="57" w:line="57" w:lineRule="atLeast"/>
        <w:tabs>
          <w:tab w:val="left" w:pos="0" w:leader="none"/>
        </w:tabs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i/>
          <w:sz w:val="28"/>
          <w:szCs w:val="28"/>
        </w:rPr>
        <w:t xml:space="preserve">В Управлении </w:t>
      </w:r>
      <w:r>
        <w:rPr>
          <w:rFonts w:ascii="Liberation Serif" w:hAnsi="Liberation Serif" w:eastAsia="Liberation Serif" w:cs="Liberation Serif"/>
          <w:i/>
          <w:sz w:val="28"/>
          <w:szCs w:val="28"/>
        </w:rPr>
        <w:t xml:space="preserve">Росреестра</w:t>
      </w:r>
      <w:r>
        <w:rPr>
          <w:rFonts w:ascii="Liberation Serif" w:hAnsi="Liberation Serif" w:eastAsia="Liberation Serif" w:cs="Liberation Serif"/>
          <w:i/>
          <w:sz w:val="28"/>
          <w:szCs w:val="28"/>
        </w:rPr>
        <w:t xml:space="preserve"> по Забайкальскому напоминают </w:t>
      </w:r>
      <w:r>
        <w:rPr>
          <w:rFonts w:ascii="Liberation Serif" w:hAnsi="Liberation Serif" w:eastAsia="Liberation Serif" w:cs="Liberation Serif"/>
          <w:i/>
          <w:sz w:val="28"/>
          <w:szCs w:val="28"/>
        </w:rPr>
        <w:t xml:space="preserve">гражданам </w:t>
      </w:r>
      <w:r>
        <w:rPr>
          <w:rFonts w:ascii="Liberation Serif" w:hAnsi="Liberation Serif" w:eastAsia="Liberation Serif" w:cs="Liberation Serif"/>
          <w:i/>
          <w:sz w:val="28"/>
          <w:szCs w:val="28"/>
        </w:rPr>
        <w:t xml:space="preserve">номер «Т</w:t>
      </w:r>
      <w:r>
        <w:rPr>
          <w:rFonts w:ascii="Liberation Serif" w:hAnsi="Liberation Serif" w:eastAsia="Liberation Serif" w:cs="Liberation Serif"/>
          <w:i/>
          <w:sz w:val="28"/>
          <w:szCs w:val="28"/>
        </w:rPr>
        <w:t xml:space="preserve">елефона доверия» </w:t>
      </w:r>
      <w:r>
        <w:rPr>
          <w:rStyle w:val="785"/>
          <w:rFonts w:ascii="Liberation Serif" w:hAnsi="Liberation Serif" w:eastAsia="Liberation Serif" w:cs="Liberation Serif"/>
          <w:i/>
          <w:color w:val="000000"/>
          <w:sz w:val="28"/>
          <w:szCs w:val="28"/>
        </w:rPr>
        <w:t xml:space="preserve">8 (3022) 35-</w:t>
      </w:r>
      <w:r>
        <w:rPr>
          <w:rStyle w:val="785"/>
          <w:rFonts w:ascii="Liberation Serif" w:hAnsi="Liberation Serif" w:eastAsia="Liberation Serif" w:cs="Liberation Serif"/>
          <w:i/>
          <w:color w:val="000000"/>
          <w:sz w:val="28"/>
          <w:szCs w:val="28"/>
        </w:rPr>
        <w:t xml:space="preserve">22</w:t>
      </w:r>
      <w:r>
        <w:rPr>
          <w:rStyle w:val="785"/>
          <w:rFonts w:ascii="Liberation Serif" w:hAnsi="Liberation Serif" w:eastAsia="Liberation Serif" w:cs="Liberation Serif"/>
          <w:i/>
          <w:color w:val="000000"/>
          <w:sz w:val="28"/>
          <w:szCs w:val="28"/>
        </w:rPr>
        <w:t xml:space="preserve">-</w:t>
      </w:r>
      <w:r>
        <w:rPr>
          <w:rStyle w:val="785"/>
          <w:rFonts w:ascii="Liberation Serif" w:hAnsi="Liberation Serif" w:eastAsia="Liberation Serif" w:cs="Liberation Serif"/>
          <w:i/>
          <w:color w:val="000000"/>
          <w:sz w:val="28"/>
          <w:szCs w:val="28"/>
        </w:rPr>
        <w:t xml:space="preserve">11</w:t>
      </w:r>
      <w:r>
        <w:rPr>
          <w:rStyle w:val="785"/>
          <w:rFonts w:ascii="Liberation Serif" w:hAnsi="Liberation Serif" w:eastAsia="Liberation Serif" w:cs="Liberation Serif"/>
          <w:i/>
          <w:color w:val="000000"/>
          <w:sz w:val="28"/>
          <w:szCs w:val="28"/>
        </w:rPr>
        <w:t xml:space="preserve"> (доб</w:t>
      </w:r>
      <w:r>
        <w:rPr>
          <w:rStyle w:val="785"/>
          <w:rFonts w:ascii="Liberation Serif" w:hAnsi="Liberation Serif" w:eastAsia="Liberation Serif" w:cs="Liberation Serif"/>
          <w:i/>
          <w:color w:val="000000"/>
          <w:sz w:val="28"/>
          <w:szCs w:val="28"/>
        </w:rPr>
        <w:t xml:space="preserve">.</w:t>
      </w:r>
      <w:r>
        <w:rPr>
          <w:rStyle w:val="785"/>
          <w:rFonts w:ascii="Liberation Serif" w:hAnsi="Liberation Serif" w:eastAsia="Liberation Serif" w:cs="Liberation Serif"/>
          <w:i/>
          <w:color w:val="000000"/>
          <w:sz w:val="28"/>
          <w:szCs w:val="28"/>
        </w:rPr>
        <w:t xml:space="preserve"> номер 5)</w:t>
      </w:r>
      <w:r>
        <w:rPr>
          <w:rStyle w:val="785"/>
          <w:rFonts w:ascii="Liberation Serif" w:hAnsi="Liberation Serif" w:eastAsia="Liberation Serif" w:cs="Liberation Serif"/>
          <w:i/>
          <w:color w:val="000000"/>
          <w:sz w:val="28"/>
          <w:szCs w:val="28"/>
        </w:rPr>
        <w:t xml:space="preserve">, по которому можно сообщить о фактах </w:t>
      </w:r>
      <w:r>
        <w:rPr>
          <w:rFonts w:ascii="Liberation Serif" w:hAnsi="Liberation Serif" w:eastAsia="Liberation Serif" w:cs="Liberation Serif"/>
          <w:i/>
          <w:sz w:val="28"/>
          <w:szCs w:val="28"/>
        </w:rPr>
        <w:t xml:space="preserve">коррупционных правонарушений.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ind w:left="0" w:right="0" w:firstLine="567"/>
        <w:jc w:val="both"/>
        <w:spacing w:before="57" w:after="57"/>
        <w:tabs>
          <w:tab w:val="left" w:pos="0" w:leader="none"/>
        </w:tabs>
        <w:rPr>
          <w:rStyle w:val="785"/>
          <w:rFonts w:ascii="Liberation Serif" w:hAnsi="Liberation Serif" w:cs="Liberation Serif"/>
          <w:color w:val="000000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color w:val="000000"/>
          <w:sz w:val="28"/>
          <w:szCs w:val="28"/>
        </w:rPr>
      </w:r>
      <w:r>
        <w:rPr>
          <w:rStyle w:val="785"/>
          <w:rFonts w:ascii="Liberation Serif" w:hAnsi="Liberation Serif" w:cs="Liberation Serif"/>
          <w:color w:val="000000"/>
          <w:sz w:val="28"/>
          <w:szCs w:val="28"/>
        </w:rPr>
      </w:r>
    </w:p>
    <w:p>
      <w:pPr>
        <w:contextualSpacing w:val="0"/>
        <w:ind w:left="0" w:right="0" w:firstLine="567"/>
        <w:jc w:val="both"/>
        <w:spacing w:before="57" w:after="57"/>
        <w:tabs>
          <w:tab w:val="left" w:pos="0" w:leader="none"/>
        </w:tabs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Также обращения принимаются на официальную электронную почту Управления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Росреестра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 по Забайкальскому краю </w:t>
      </w:r>
      <w:hyperlink r:id="rId16" w:tooltip="mailto:75_upr@rosreestr.ru" w:history="1">
        <w:r>
          <w:rPr>
            <w:rStyle w:val="774"/>
            <w:rFonts w:ascii="Liberation Serif" w:hAnsi="Liberation Serif" w:eastAsia="Liberation Serif" w:cs="Liberation Serif"/>
            <w:sz w:val="28"/>
            <w:szCs w:val="28"/>
          </w:rPr>
          <w:t xml:space="preserve">75_upr@rosreestr.ru</w:t>
        </w:r>
      </w:hyperlink>
      <w:r>
        <w:rPr>
          <w:rFonts w:ascii="Liberation Serif" w:hAnsi="Liberation Serif" w:eastAsia="Liberation Serif" w:cs="Liberation Serif"/>
          <w:sz w:val="28"/>
          <w:szCs w:val="28"/>
        </w:rPr>
        <w:t xml:space="preserve">, либо </w:t>
      </w:r>
      <w:hyperlink r:id="rId17" w:tooltip="mailto:kadri@r75.rosreestr.ru" w:history="1">
        <w:r>
          <w:rPr>
            <w:rStyle w:val="774"/>
            <w:rFonts w:ascii="Liberation Serif" w:hAnsi="Liberation Serif" w:eastAsia="Liberation Serif" w:cs="Liberation Serif"/>
            <w:sz w:val="28"/>
            <w:szCs w:val="28"/>
          </w:rPr>
          <w:t xml:space="preserve">kadri@r75.rosreestr.ru</w:t>
        </w:r>
      </w:hyperlink>
      <w:r>
        <w:rPr>
          <w:rFonts w:ascii="Liberation Serif" w:hAnsi="Liberation Serif" w:eastAsia="Liberation Serif" w:cs="Liberation Serif"/>
          <w:sz w:val="28"/>
          <w:szCs w:val="28"/>
        </w:rPr>
        <w:t xml:space="preserve">.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Обращения в письменном виде принимаются по адресу: 6720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39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, г. Чита, ул. А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мурская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,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15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. </w:t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contextualSpacing w:val="0"/>
        <w:ind w:left="0" w:right="0" w:firstLine="567"/>
        <w:jc w:val="both"/>
        <w:spacing w:before="57" w:after="57"/>
        <w:tabs>
          <w:tab w:val="left" w:pos="0" w:leader="none"/>
        </w:tabs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 w:val="0"/>
        <w:ind w:left="0" w:right="0" w:firstLine="567"/>
        <w:jc w:val="both"/>
        <w:spacing w:before="57" w:after="57"/>
        <w:tabs>
          <w:tab w:val="left" w:pos="0" w:leader="none"/>
        </w:tabs>
        <w:rPr>
          <w:rFonts w:ascii="Liberation Serif" w:hAnsi="Liberation Serif" w:cs="Liberation Serif"/>
          <w:sz w:val="28"/>
          <w:szCs w:val="28"/>
          <w:highlight w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Кроме этого, в круглосуточном режиме функционирует федеральный «Телефон доверия»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Росреестра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, куда можно позвонить по номеру 8 (800) 100-18-18. Имеется дополнительная возможность сообщить о фактах коррупции, заполнив электронную форму на сайте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Росреестра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: </w:t>
      </w:r>
      <w:hyperlink r:id="rId18" w:tooltip="https://rosreestr.gov.ru/eservices/services/tickets/" w:history="1">
        <w:r>
          <w:rPr>
            <w:rStyle w:val="774"/>
            <w:rFonts w:ascii="Liberation Serif" w:hAnsi="Liberation Serif" w:eastAsia="Liberation Serif" w:cs="Liberation Serif"/>
            <w:sz w:val="28"/>
            <w:szCs w:val="28"/>
          </w:rPr>
          <w:t xml:space="preserve">https://rosreestr.gov.ru/eservices/services/tickets/</w:t>
        </w:r>
      </w:hyperlink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</w:p>
    <w:p>
      <w:pPr>
        <w:contextualSpacing w:val="0"/>
        <w:ind w:left="0" w:right="0" w:firstLine="567"/>
        <w:jc w:val="both"/>
        <w:spacing w:before="57" w:after="57"/>
        <w:tabs>
          <w:tab w:val="left" w:pos="0" w:leader="none"/>
        </w:tabs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contextualSpacing w:val="0"/>
        <w:ind w:left="0" w:right="0" w:firstLine="567"/>
        <w:jc w:val="both"/>
        <w:spacing w:before="57" w:after="57"/>
        <w:tabs>
          <w:tab w:val="left" w:pos="0" w:leader="none"/>
        </w:tabs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По многоканальному номеру 8 (3022) 35-22-11 (доб. номер 5) принимается 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и рассматривается информация о фактах: </w:t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contextualSpacing w:val="0"/>
        <w:ind w:left="0" w:right="0" w:firstLine="567"/>
        <w:jc w:val="both"/>
        <w:spacing w:before="57" w:after="57"/>
        <w:tabs>
          <w:tab w:val="left" w:pos="0" w:leader="none"/>
        </w:tabs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- коррупционных проявлений в действиях гражда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нских служащих Управления; </w:t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contextualSpacing w:val="0"/>
        <w:ind w:left="0" w:right="0" w:firstLine="567"/>
        <w:jc w:val="both"/>
        <w:spacing w:before="57" w:after="57"/>
        <w:tabs>
          <w:tab w:val="left" w:pos="0" w:leader="none"/>
        </w:tabs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- конфликта интересов в действиях (бездействий) гражданских служащих Управления; </w:t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contextualSpacing w:val="0"/>
        <w:ind w:left="0" w:right="0" w:firstLine="567"/>
        <w:jc w:val="both"/>
        <w:spacing w:before="57" w:after="57"/>
        <w:tabs>
          <w:tab w:val="left" w:pos="0" w:leader="none"/>
        </w:tabs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- несоблюдения гражданскими служащими ограничений и запретов, в отношении которых законодательством России такие запреты и ограничения установлены. </w:t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contextualSpacing w:val="0"/>
        <w:ind w:left="0" w:right="0" w:firstLine="567"/>
        <w:jc w:val="both"/>
        <w:spacing w:before="57" w:after="57"/>
        <w:tabs>
          <w:tab w:val="left" w:pos="0" w:leader="none"/>
        </w:tabs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contextualSpacing w:val="0"/>
        <w:ind w:left="0" w:right="0" w:firstLine="567"/>
        <w:jc w:val="both"/>
        <w:spacing w:before="57" w:after="57"/>
        <w:tabs>
          <w:tab w:val="left" w:pos="0" w:leader="none"/>
        </w:tabs>
        <w:rPr>
          <w:rFonts w:ascii="Liberation Serif" w:hAnsi="Liberation Serif" w:eastAsia="Liberation Serif" w:cs="Liberation Serif"/>
          <w:sz w:val="28"/>
          <w:szCs w:val="28"/>
          <w:highlight w:val="none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  <w:t xml:space="preserve">Время приема одного обращения в режиме автоответчика не должно превышать 5 минут. </w:t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pStyle w:val="786"/>
        <w:contextualSpacing w:val="0"/>
        <w:ind w:left="0" w:right="0" w:firstLine="567"/>
        <w:jc w:val="both"/>
        <w:spacing w:before="57" w:after="57" w:line="65" w:lineRule="atLeast"/>
        <w:shd w:val="clear" w:color="auto" w:fill="auto"/>
        <w:tabs>
          <w:tab w:val="left" w:pos="0" w:leader="none"/>
        </w:tabs>
        <w:rPr>
          <w:rStyle w:val="785"/>
          <w:rFonts w:ascii="Liberation Serif" w:hAnsi="Liberation Serif" w:cs="Liberation Serif"/>
          <w:color w:val="000000"/>
          <w:sz w:val="28"/>
          <w:szCs w:val="28"/>
        </w:rPr>
        <w:suppressLineNumbers w:val="0"/>
      </w:pPr>
      <w:r>
        <w:rPr>
          <w:rFonts w:ascii="Liberation Serif" w:hAnsi="Liberation Serif" w:eastAsia="Liberation Serif" w:cs="Liberation Serif"/>
          <w:sz w:val="28"/>
          <w:szCs w:val="28"/>
        </w:rPr>
      </w:r>
      <w:bookmarkStart w:id="0" w:name="_GoBack"/>
      <w:r>
        <w:rPr>
          <w:rFonts w:ascii="Liberation Serif" w:hAnsi="Liberation Serif" w:eastAsia="Liberation Serif" w:cs="Liberation Serif"/>
          <w:sz w:val="28"/>
          <w:szCs w:val="28"/>
        </w:rPr>
      </w:r>
      <w:bookmarkEnd w:id="0"/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Style w:val="785"/>
          <w:rFonts w:ascii="Liberation Serif" w:hAnsi="Liberation Serif" w:cs="Liberation Serif"/>
          <w:color w:val="000000"/>
          <w:sz w:val="28"/>
          <w:szCs w:val="28"/>
        </w:rPr>
      </w:r>
    </w:p>
    <w:p>
      <w:pPr>
        <w:pStyle w:val="786"/>
        <w:contextualSpacing w:val="0"/>
        <w:ind w:left="0" w:right="0" w:firstLine="567"/>
        <w:jc w:val="both"/>
        <w:spacing w:before="57" w:after="57" w:line="65" w:lineRule="atLeast"/>
        <w:shd w:val="clear" w:color="auto" w:fill="auto"/>
        <w:tabs>
          <w:tab w:val="left" w:pos="0" w:leader="none"/>
        </w:tabs>
        <w:rPr>
          <w:rFonts w:ascii="Liberation Serif" w:hAnsi="Liberation Serif" w:cs="Liberation Serif"/>
          <w:sz w:val="28"/>
          <w:szCs w:val="28"/>
        </w:rPr>
        <w:suppressLineNumbers w:val="0"/>
      </w:pPr>
      <w:r>
        <w:rPr>
          <w:rStyle w:val="785"/>
          <w:rFonts w:ascii="Liberation Serif" w:hAnsi="Liberation Serif" w:eastAsia="Liberation Serif" w:cs="Liberation Serif"/>
          <w:color w:val="000000"/>
          <w:sz w:val="28"/>
          <w:szCs w:val="28"/>
        </w:rPr>
        <w:t xml:space="preserve">- </w:t>
      </w:r>
      <w:r>
        <w:rPr>
          <w:rStyle w:val="785"/>
          <w:rFonts w:ascii="Liberation Serif" w:hAnsi="Liberation Serif" w:eastAsia="Liberation Serif" w:cs="Liberation Serif"/>
          <w:color w:val="000000"/>
          <w:sz w:val="28"/>
          <w:szCs w:val="28"/>
        </w:rPr>
        <w:t xml:space="preserve">Обращения, поступившие по «телефону доверия», не касающиеся коррупционных действий гражданских служащих Управления, анонимные обращения (без указания фамилии, имени</w:t>
      </w:r>
      <w:r>
        <w:rPr>
          <w:rStyle w:val="785"/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гражданина, направившего обращение), обращения, не содержащие почтового адреса или адреса электронной почты, по которому должен быть направлен ответ, а также обращения, аудиозапись которых не разборчива и не понятна, не регистрируются и не рассматриваются</w:t>
      </w:r>
      <w:r>
        <w:rPr>
          <w:rStyle w:val="785"/>
          <w:rFonts w:ascii="Liberation Serif" w:hAnsi="Liberation Serif" w:eastAsia="Liberation Serif" w:cs="Liberation Serif"/>
          <w:color w:val="000000"/>
          <w:sz w:val="28"/>
          <w:szCs w:val="28"/>
        </w:rPr>
        <w:t xml:space="preserve">, - уточняет Татьяна Лобан, заместитель руководителя Управления </w:t>
      </w:r>
      <w:r>
        <w:rPr>
          <w:rStyle w:val="785"/>
          <w:rFonts w:ascii="Liberation Serif" w:hAnsi="Liberation Serif" w:eastAsia="Liberation Serif" w:cs="Liberation Serif"/>
          <w:color w:val="000000"/>
          <w:sz w:val="28"/>
          <w:szCs w:val="28"/>
        </w:rPr>
        <w:t xml:space="preserve">Росреестра</w:t>
      </w:r>
      <w:r>
        <w:rPr>
          <w:rStyle w:val="785"/>
          <w:rFonts w:ascii="Liberation Serif" w:hAnsi="Liberation Serif" w:eastAsia="Liberation Serif" w:cs="Liberation Serif"/>
          <w:color w:val="000000"/>
          <w:sz w:val="28"/>
          <w:szCs w:val="28"/>
        </w:rPr>
        <w:t xml:space="preserve"> по Забайкальскому краю</w:t>
      </w:r>
      <w:r>
        <w:rPr>
          <w:rFonts w:ascii="Liberation Serif" w:hAnsi="Liberation Serif" w:eastAsia="Liberation Serif" w:cs="Liberation Serif"/>
          <w:sz w:val="28"/>
          <w:szCs w:val="28"/>
        </w:rPr>
        <w:t xml:space="preserve">.</w:t>
      </w:r>
      <w:r>
        <w:rPr>
          <w:rFonts w:ascii="Liberation Serif" w:hAnsi="Liberation Serif" w:cs="Liberation Serif"/>
          <w:sz w:val="28"/>
          <w:szCs w:val="28"/>
        </w:rPr>
      </w:r>
    </w:p>
    <w:p>
      <w:pPr>
        <w:pStyle w:val="786"/>
        <w:ind w:firstLine="567"/>
        <w:jc w:val="both"/>
        <w:spacing w:before="0" w:line="276" w:lineRule="auto"/>
        <w:shd w:val="clear" w:color="auto" w:fill="auto"/>
        <w:tabs>
          <w:tab w:val="left" w:pos="1053" w:leader="none"/>
        </w:tabs>
        <w:rPr>
          <w:rStyle w:val="785"/>
          <w:rFonts w:ascii="Inter" w:hAnsi="Inter" w:cs="Segoe UI"/>
          <w:color w:val="000000"/>
          <w:sz w:val="24"/>
          <w:szCs w:val="24"/>
        </w:rPr>
      </w:pPr>
      <w:r>
        <w:rPr>
          <w:rFonts w:ascii="Inter" w:hAnsi="Inter" w:cs="Segoe UI"/>
          <w:color w:val="000000"/>
          <w:sz w:val="24"/>
          <w:szCs w:val="24"/>
        </w:rPr>
      </w:r>
      <w:r>
        <w:rPr>
          <w:rStyle w:val="785"/>
          <w:rFonts w:ascii="Inter" w:hAnsi="Inter" w:cs="Segoe UI"/>
          <w:color w:val="000000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Inter" w:hAnsi="Inter" w:eastAsia="Times New Roman" w:cs="Segoe UI"/>
          <w:sz w:val="24"/>
          <w:szCs w:val="24"/>
          <w:lang w:eastAsia="ru-RU"/>
        </w:rPr>
        <w:t xml:space="preserve">#</w:t>
      </w:r>
      <w:r>
        <w:rPr>
          <w:rFonts w:ascii="Inter" w:hAnsi="Inter" w:eastAsia="Times New Roman" w:cs="Segoe UI"/>
          <w:sz w:val="24"/>
          <w:szCs w:val="24"/>
          <w:lang w:eastAsia="ru-RU"/>
        </w:rPr>
        <w:t xml:space="preserve">Росреестр</w:t>
      </w:r>
      <w:r>
        <w:rPr>
          <w:rFonts w:ascii="Inter" w:hAnsi="Inter" w:eastAsia="Times New Roman" w:cs="Segoe UI"/>
          <w:sz w:val="24"/>
          <w:szCs w:val="24"/>
          <w:lang w:eastAsia="ru-RU"/>
        </w:rPr>
        <w:t xml:space="preserve"> #</w:t>
      </w:r>
      <w:r>
        <w:rPr>
          <w:rFonts w:ascii="Inter" w:hAnsi="Inter" w:eastAsia="Times New Roman" w:cs="Segoe UI"/>
          <w:sz w:val="24"/>
          <w:szCs w:val="24"/>
          <w:lang w:eastAsia="ru-RU"/>
        </w:rPr>
        <w:t xml:space="preserve">РосреестрЧита</w:t>
      </w:r>
      <w:r>
        <w:rPr>
          <w:rFonts w:ascii="Inter" w:hAnsi="Inter" w:eastAsia="Times New Roman" w:cs="Segoe UI"/>
          <w:sz w:val="24"/>
          <w:szCs w:val="24"/>
          <w:lang w:eastAsia="ru-RU"/>
        </w:rPr>
        <w:t xml:space="preserve"> #</w:t>
      </w:r>
      <w:r>
        <w:rPr>
          <w:rFonts w:ascii="Inter" w:hAnsi="Inter" w:eastAsia="Times New Roman" w:cs="Segoe UI"/>
          <w:sz w:val="24"/>
          <w:szCs w:val="24"/>
          <w:lang w:eastAsia="ru-RU"/>
        </w:rPr>
        <w:t xml:space="preserve">РосреестрЗабайкальскийКрай</w:t>
      </w:r>
      <w:r>
        <w:rPr>
          <w:rFonts w:ascii="Inter" w:hAnsi="Inter" w:eastAsia="Times New Roman" w:cs="Segoe UI"/>
          <w:sz w:val="24"/>
          <w:szCs w:val="24"/>
          <w:lang w:eastAsia="ru-RU"/>
        </w:rPr>
        <w:t xml:space="preserve"> #Росреестр75 #</w:t>
      </w:r>
      <w:r>
        <w:rPr>
          <w:rFonts w:ascii="Inter" w:hAnsi="Inter" w:eastAsia="Times New Roman" w:cs="Segoe UI"/>
          <w:sz w:val="24"/>
          <w:szCs w:val="24"/>
          <w:lang w:eastAsia="ru-RU"/>
        </w:rPr>
        <w:t xml:space="preserve">Антикоррупция</w:t>
      </w:r>
      <w:r>
        <w:rPr>
          <w:rFonts w:ascii="Inter" w:hAnsi="Inter" w:eastAsia="Times New Roman" w:cs="Segoe UI"/>
          <w:sz w:val="24"/>
          <w:szCs w:val="24"/>
          <w:lang w:eastAsia="ru-RU"/>
        </w:rPr>
        <w:t xml:space="preserve"> #</w:t>
      </w:r>
      <w:r>
        <w:rPr>
          <w:rFonts w:ascii="Inter" w:hAnsi="Inter" w:eastAsia="Times New Roman" w:cs="Segoe UI"/>
          <w:sz w:val="24"/>
          <w:szCs w:val="24"/>
          <w:lang w:eastAsia="ru-RU"/>
        </w:rPr>
        <w:t xml:space="preserve">ТелефонДоверия</w:t>
      </w:r>
      <w:r>
        <w:rPr>
          <w:rFonts w:ascii="Times New Roman" w:hAnsi="Times New Roman" w:cs="Times New Roman"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Inter">
    <w:panose1 w:val="02000603000000000000"/>
  </w:font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3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</w:t>
    </w:r>
    <w:r>
      <w:rPr>
        <w:rFonts w:ascii="Segoe UI" w:hAnsi="Segoe UI" w:cs="Segoe UI"/>
        <w:color w:val="0070b9"/>
        <w:sz w:val="16"/>
        <w:szCs w:val="16"/>
      </w:rPr>
      <w:t xml:space="preserve">Росреестра</w:t>
    </w:r>
    <w:r>
      <w:rPr>
        <w:rFonts w:ascii="Segoe UI" w:hAnsi="Segoe UI" w:cs="Segoe UI"/>
        <w:color w:val="0070b9"/>
        <w:sz w:val="16"/>
        <w:szCs w:val="16"/>
      </w:rPr>
      <w:t xml:space="preserve"> по Забайкальскому краю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3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3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3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783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tooltip="mailto:Jambalnimbuevbb@r75.rosreestr.ru" w:history="1">
      <w:r>
        <w:rPr>
          <w:rStyle w:val="774"/>
          <w:rFonts w:ascii="Segoe UI" w:hAnsi="Segoe UI" w:cs="Segoe UI"/>
          <w:sz w:val="16"/>
          <w:szCs w:val="16"/>
          <w:lang w:val="en-US"/>
        </w:rPr>
        <w:t xml:space="preserve">Jambalnimbuevbb@r75.rosreestr.ru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tooltip="mailto:Arbalet1977@yandex.ru" w:history="1">
      <w:r>
        <w:rPr>
          <w:rStyle w:val="774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783"/>
      <w:rPr>
        <w:lang w:val="en-US"/>
      </w:rPr>
    </w:pPr>
    <w:r>
      <w:rPr>
        <w:lang w:val="en-US"/>
      </w:rPr>
    </w:r>
    <w:r>
      <w:rPr>
        <w:lang w:val="en-US"/>
      </w:rPr>
    </w:r>
  </w:p>
  <w:p>
    <w:pPr>
      <w:pStyle w:val="783"/>
      <w:rPr>
        <w:lang w:val="en-US"/>
      </w:rPr>
    </w:pP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3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3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66"/>
    <w:link w:val="765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64"/>
    <w:next w:val="764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66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64"/>
    <w:next w:val="764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66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64"/>
    <w:next w:val="764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66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64"/>
    <w:next w:val="764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66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64"/>
    <w:next w:val="764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66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64"/>
    <w:next w:val="764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66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64"/>
    <w:next w:val="764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66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64"/>
    <w:next w:val="764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66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764"/>
    <w:next w:val="764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66"/>
    <w:link w:val="34"/>
    <w:uiPriority w:val="10"/>
    <w:rPr>
      <w:sz w:val="48"/>
      <w:szCs w:val="48"/>
    </w:rPr>
  </w:style>
  <w:style w:type="paragraph" w:styleId="36">
    <w:name w:val="Subtitle"/>
    <w:basedOn w:val="764"/>
    <w:next w:val="764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66"/>
    <w:link w:val="36"/>
    <w:uiPriority w:val="11"/>
    <w:rPr>
      <w:sz w:val="24"/>
      <w:szCs w:val="24"/>
    </w:rPr>
  </w:style>
  <w:style w:type="paragraph" w:styleId="38">
    <w:name w:val="Quote"/>
    <w:basedOn w:val="764"/>
    <w:next w:val="764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64"/>
    <w:next w:val="764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66"/>
    <w:link w:val="781"/>
    <w:uiPriority w:val="99"/>
  </w:style>
  <w:style w:type="character" w:styleId="45">
    <w:name w:val="Footer Char"/>
    <w:basedOn w:val="766"/>
    <w:link w:val="783"/>
    <w:uiPriority w:val="99"/>
  </w:style>
  <w:style w:type="paragraph" w:styleId="46">
    <w:name w:val="Caption"/>
    <w:basedOn w:val="764"/>
    <w:next w:val="764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783"/>
    <w:uiPriority w:val="99"/>
  </w:style>
  <w:style w:type="table" w:styleId="48">
    <w:name w:val="Table Grid"/>
    <w:basedOn w:val="76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76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6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6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6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6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6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64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66"/>
    <w:uiPriority w:val="99"/>
    <w:unhideWhenUsed/>
    <w:rPr>
      <w:vertAlign w:val="superscript"/>
    </w:rPr>
  </w:style>
  <w:style w:type="paragraph" w:styleId="178">
    <w:name w:val="endnote text"/>
    <w:basedOn w:val="764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66"/>
    <w:uiPriority w:val="99"/>
    <w:semiHidden/>
    <w:unhideWhenUsed/>
    <w:rPr>
      <w:vertAlign w:val="superscript"/>
    </w:rPr>
  </w:style>
  <w:style w:type="paragraph" w:styleId="181">
    <w:name w:val="toc 1"/>
    <w:basedOn w:val="764"/>
    <w:next w:val="764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64"/>
    <w:next w:val="764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64"/>
    <w:next w:val="764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64"/>
    <w:next w:val="764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64"/>
    <w:next w:val="764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64"/>
    <w:next w:val="764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64"/>
    <w:next w:val="764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64"/>
    <w:next w:val="764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64"/>
    <w:next w:val="764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64"/>
    <w:next w:val="764"/>
    <w:uiPriority w:val="99"/>
    <w:unhideWhenUsed/>
    <w:pPr>
      <w:spacing w:after="0" w:afterAutospacing="0"/>
    </w:pPr>
  </w:style>
  <w:style w:type="paragraph" w:styleId="764" w:default="1">
    <w:name w:val="Normal"/>
    <w:qFormat/>
    <w:pPr>
      <w:spacing w:after="200" w:line="276" w:lineRule="auto"/>
    </w:pPr>
  </w:style>
  <w:style w:type="paragraph" w:styleId="765">
    <w:name w:val="Heading 1"/>
    <w:basedOn w:val="764"/>
    <w:next w:val="764"/>
    <w:link w:val="772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766" w:default="1">
    <w:name w:val="Default Paragraph Font"/>
    <w:uiPriority w:val="1"/>
    <w:semiHidden/>
    <w:unhideWhenUsed/>
  </w:style>
  <w:style w:type="table" w:styleId="76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8" w:default="1">
    <w:name w:val="No List"/>
    <w:uiPriority w:val="99"/>
    <w:semiHidden/>
    <w:unhideWhenUsed/>
  </w:style>
  <w:style w:type="paragraph" w:styleId="769">
    <w:name w:val="Balloon Text"/>
    <w:basedOn w:val="764"/>
    <w:link w:val="770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770" w:customStyle="1">
    <w:name w:val="Текст выноски Знак"/>
    <w:basedOn w:val="766"/>
    <w:link w:val="769"/>
    <w:uiPriority w:val="99"/>
    <w:semiHidden/>
    <w:rPr>
      <w:rFonts w:ascii="Segoe UI" w:hAnsi="Segoe UI" w:cs="Segoe UI"/>
      <w:sz w:val="18"/>
      <w:szCs w:val="18"/>
    </w:rPr>
  </w:style>
  <w:style w:type="paragraph" w:styleId="771">
    <w:name w:val="No Spacing"/>
    <w:uiPriority w:val="1"/>
    <w:qFormat/>
    <w:pPr>
      <w:spacing w:after="0" w:line="240" w:lineRule="auto"/>
    </w:pPr>
  </w:style>
  <w:style w:type="character" w:styleId="772" w:customStyle="1">
    <w:name w:val="Заголовок 1 Знак"/>
    <w:basedOn w:val="766"/>
    <w:link w:val="765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773">
    <w:name w:val="List Paragraph"/>
    <w:basedOn w:val="764"/>
    <w:uiPriority w:val="34"/>
    <w:qFormat/>
    <w:pPr>
      <w:contextualSpacing/>
      <w:ind w:left="720"/>
      <w:spacing w:after="160" w:line="256" w:lineRule="auto"/>
    </w:pPr>
  </w:style>
  <w:style w:type="character" w:styleId="774">
    <w:name w:val="Hyperlink"/>
    <w:basedOn w:val="766"/>
    <w:uiPriority w:val="99"/>
    <w:unhideWhenUsed/>
    <w:rPr>
      <w:color w:val="0563c1" w:themeColor="hyperlink"/>
      <w:u w:val="single"/>
    </w:rPr>
  </w:style>
  <w:style w:type="character" w:styleId="775">
    <w:name w:val="annotation reference"/>
    <w:basedOn w:val="766"/>
    <w:uiPriority w:val="99"/>
    <w:semiHidden/>
    <w:unhideWhenUsed/>
    <w:rPr>
      <w:sz w:val="16"/>
      <w:szCs w:val="16"/>
    </w:rPr>
  </w:style>
  <w:style w:type="paragraph" w:styleId="776">
    <w:name w:val="annotation text"/>
    <w:basedOn w:val="764"/>
    <w:link w:val="777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777" w:customStyle="1">
    <w:name w:val="Текст примечания Знак"/>
    <w:basedOn w:val="766"/>
    <w:link w:val="776"/>
    <w:uiPriority w:val="99"/>
    <w:semiHidden/>
    <w:rPr>
      <w:sz w:val="20"/>
      <w:szCs w:val="20"/>
    </w:rPr>
  </w:style>
  <w:style w:type="paragraph" w:styleId="778">
    <w:name w:val="annotation subject"/>
    <w:basedOn w:val="776"/>
    <w:next w:val="776"/>
    <w:link w:val="779"/>
    <w:uiPriority w:val="99"/>
    <w:semiHidden/>
    <w:unhideWhenUsed/>
    <w:rPr>
      <w:b/>
      <w:bCs/>
    </w:rPr>
  </w:style>
  <w:style w:type="character" w:styleId="779" w:customStyle="1">
    <w:name w:val="Тема примечания Знак"/>
    <w:basedOn w:val="777"/>
    <w:link w:val="778"/>
    <w:uiPriority w:val="99"/>
    <w:semiHidden/>
    <w:rPr>
      <w:b/>
      <w:bCs/>
      <w:sz w:val="20"/>
      <w:szCs w:val="20"/>
    </w:rPr>
  </w:style>
  <w:style w:type="character" w:styleId="780">
    <w:name w:val="Strong"/>
    <w:basedOn w:val="766"/>
    <w:uiPriority w:val="22"/>
    <w:qFormat/>
    <w:rPr>
      <w:b/>
      <w:bCs/>
    </w:rPr>
  </w:style>
  <w:style w:type="paragraph" w:styleId="781">
    <w:name w:val="Header"/>
    <w:basedOn w:val="764"/>
    <w:link w:val="78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82" w:customStyle="1">
    <w:name w:val="Верхний колонтитул Знак"/>
    <w:basedOn w:val="766"/>
    <w:link w:val="781"/>
    <w:uiPriority w:val="99"/>
  </w:style>
  <w:style w:type="paragraph" w:styleId="783">
    <w:name w:val="Footer"/>
    <w:basedOn w:val="764"/>
    <w:link w:val="78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84" w:customStyle="1">
    <w:name w:val="Нижний колонтитул Знак"/>
    <w:basedOn w:val="766"/>
    <w:link w:val="783"/>
    <w:uiPriority w:val="99"/>
  </w:style>
  <w:style w:type="character" w:styleId="785" w:customStyle="1">
    <w:name w:val="Основной текст (2)_"/>
    <w:basedOn w:val="766"/>
    <w:link w:val="786"/>
    <w:uiPriority w:val="99"/>
    <w:rPr>
      <w:rFonts w:ascii="Times New Roman" w:hAnsi="Times New Roman" w:cs="Times New Roman"/>
      <w:sz w:val="28"/>
      <w:szCs w:val="28"/>
      <w:shd w:val="clear" w:color="auto" w:fill="ffffff"/>
    </w:rPr>
  </w:style>
  <w:style w:type="paragraph" w:styleId="786" w:customStyle="1">
    <w:name w:val="Основной текст (2)"/>
    <w:basedOn w:val="764"/>
    <w:link w:val="785"/>
    <w:uiPriority w:val="99"/>
    <w:pPr>
      <w:jc w:val="center"/>
      <w:spacing w:before="360" w:after="0" w:line="317" w:lineRule="exact"/>
      <w:shd w:val="clear" w:color="auto" w:fill="ffffff"/>
      <w:widowControl w:val="off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Relationship Id="rId16" Type="http://schemas.openxmlformats.org/officeDocument/2006/relationships/hyperlink" Target="mailto:75_upr@rosreestr.ru" TargetMode="External"/><Relationship Id="rId17" Type="http://schemas.openxmlformats.org/officeDocument/2006/relationships/hyperlink" Target="mailto:kadri@r75.rosreestr.ru" TargetMode="External"/><Relationship Id="rId18" Type="http://schemas.openxmlformats.org/officeDocument/2006/relationships/hyperlink" Target="https://rosreestr.gov.ru/eservices/services/tickets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24</cp:revision>
  <dcterms:created xsi:type="dcterms:W3CDTF">2022-05-27T10:42:00Z</dcterms:created>
  <dcterms:modified xsi:type="dcterms:W3CDTF">2024-12-11T06:45:52Z</dcterms:modified>
</cp:coreProperties>
</file>