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67DC6">
        <w:rPr>
          <w:rFonts w:ascii="Times New Roman" w:hAnsi="Times New Roman"/>
          <w:b/>
          <w:sz w:val="24"/>
          <w:szCs w:val="24"/>
        </w:rPr>
        <w:t>1</w:t>
      </w:r>
      <w:r w:rsidR="000736E4">
        <w:rPr>
          <w:rFonts w:ascii="Times New Roman" w:hAnsi="Times New Roman"/>
          <w:b/>
          <w:sz w:val="24"/>
          <w:szCs w:val="24"/>
        </w:rPr>
        <w:t>3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0736E4">
        <w:rPr>
          <w:rFonts w:ascii="Times New Roman" w:hAnsi="Times New Roman"/>
          <w:b/>
          <w:sz w:val="24"/>
          <w:szCs w:val="24"/>
        </w:rPr>
        <w:t>м</w:t>
      </w:r>
      <w:r w:rsidR="00710DDD">
        <w:rPr>
          <w:rFonts w:ascii="Times New Roman" w:hAnsi="Times New Roman"/>
          <w:b/>
          <w:sz w:val="24"/>
          <w:szCs w:val="24"/>
        </w:rPr>
        <w:t>ая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0736E4" w:rsidRDefault="000736E4" w:rsidP="000736E4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Неверно указанная форма оплаты в чеке может затруднить возврат денег</w:t>
      </w:r>
    </w:p>
    <w:p w:rsidR="000736E4" w:rsidRPr="00866F68" w:rsidRDefault="000736E4" w:rsidP="000736E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 xml:space="preserve">Выдача кассового чека с некорректным отражением формы расчета в сфере предоставления услуг общественного питания — распространенная ошибка, которая может повлечь за собой негативные последствия как для потребителей, так и для заведения. </w:t>
      </w:r>
      <w:proofErr w:type="gramStart"/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>Например, указание наличного расчета вместо безналичного может затруднить возврат денежных средств.</w:t>
      </w:r>
      <w:proofErr w:type="gramEnd"/>
    </w:p>
    <w:p w:rsidR="000736E4" w:rsidRPr="00866F68" w:rsidRDefault="000736E4" w:rsidP="000736E4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>При выдаче чека с неверным указанием формы расчета покупателю необходимо обратиться к администратору заведения или кассиру, объяснить суть нарушения и попросить исправить ситуацию (например, выдать правильный чек).</w:t>
      </w:r>
    </w:p>
    <w:p w:rsidR="000736E4" w:rsidRPr="00866F68" w:rsidRDefault="000736E4" w:rsidP="000736E4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>Если представитель общепита отка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зывается выдать правильный чек, п</w:t>
      </w: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 xml:space="preserve">окупатель вправе сообщить о нарушении в налоговую службу. </w:t>
      </w:r>
    </w:p>
    <w:p w:rsidR="000736E4" w:rsidRPr="00866F68" w:rsidRDefault="000736E4" w:rsidP="000736E4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Направить обращение можно несколькими способами: </w:t>
      </w:r>
    </w:p>
    <w:p w:rsidR="000736E4" w:rsidRPr="00866F68" w:rsidRDefault="000736E4" w:rsidP="000736E4">
      <w:pPr>
        <w:pStyle w:val="a6"/>
        <w:numPr>
          <w:ilvl w:val="0"/>
          <w:numId w:val="46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>через мобильное приложение «Проверка чеков ФНС России» – самый быстрый и удобный способ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с</w:t>
      </w: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его помощью можно проверить подлинность чека, отсканировать его и </w:t>
      </w: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>сообщить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нарушениях;</w:t>
      </w:r>
    </w:p>
    <w:p w:rsidR="000736E4" w:rsidRPr="00866F68" w:rsidRDefault="000736E4" w:rsidP="000736E4">
      <w:pPr>
        <w:pStyle w:val="a6"/>
        <w:numPr>
          <w:ilvl w:val="0"/>
          <w:numId w:val="46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 xml:space="preserve">через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сервис «Обратиться в</w:t>
      </w: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 xml:space="preserve"> ФНС России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>, заполнив специальную форму и приложив сканированную копию чека;</w:t>
      </w:r>
    </w:p>
    <w:p w:rsidR="000736E4" w:rsidRPr="00866F68" w:rsidRDefault="000736E4" w:rsidP="000736E4">
      <w:pPr>
        <w:pStyle w:val="a6"/>
        <w:numPr>
          <w:ilvl w:val="0"/>
          <w:numId w:val="46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6F68">
        <w:rPr>
          <w:rFonts w:ascii="Times New Roman" w:eastAsia="Times New Roman" w:hAnsi="Times New Roman"/>
          <w:sz w:val="28"/>
          <w:szCs w:val="28"/>
          <w:lang w:eastAsia="ru-RU"/>
        </w:rPr>
        <w:t>лично в налоговый орган по месту осуществления деятельности объекта общественного питания.</w:t>
      </w:r>
    </w:p>
    <w:p w:rsidR="002A2E55" w:rsidRPr="006C4AAB" w:rsidRDefault="002A2E55" w:rsidP="005F2379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AD2" w:rsidRDefault="00822AD2" w:rsidP="00DC2D47">
      <w:pPr>
        <w:spacing w:after="0" w:line="240" w:lineRule="auto"/>
      </w:pPr>
      <w:r>
        <w:separator/>
      </w:r>
    </w:p>
  </w:endnote>
  <w:endnote w:type="continuationSeparator" w:id="0">
    <w:p w:rsidR="00822AD2" w:rsidRDefault="00822AD2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AD2" w:rsidRDefault="00822AD2" w:rsidP="00DC2D47">
      <w:pPr>
        <w:spacing w:after="0" w:line="240" w:lineRule="auto"/>
      </w:pPr>
      <w:r>
        <w:separator/>
      </w:r>
    </w:p>
  </w:footnote>
  <w:footnote w:type="continuationSeparator" w:id="0">
    <w:p w:rsidR="00822AD2" w:rsidRDefault="00822AD2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CA0F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8039AE"/>
    <w:multiLevelType w:val="hybridMultilevel"/>
    <w:tmpl w:val="334C6686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3BA2AAD"/>
    <w:multiLevelType w:val="hybridMultilevel"/>
    <w:tmpl w:val="E7262B4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4">
    <w:nsid w:val="63667C45"/>
    <w:multiLevelType w:val="hybridMultilevel"/>
    <w:tmpl w:val="90DCECC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992EBE"/>
    <w:multiLevelType w:val="hybridMultilevel"/>
    <w:tmpl w:val="DC38FA24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9"/>
  </w:num>
  <w:num w:numId="3">
    <w:abstractNumId w:val="29"/>
  </w:num>
  <w:num w:numId="4">
    <w:abstractNumId w:val="29"/>
  </w:num>
  <w:num w:numId="5">
    <w:abstractNumId w:val="0"/>
  </w:num>
  <w:num w:numId="6">
    <w:abstractNumId w:val="38"/>
  </w:num>
  <w:num w:numId="7">
    <w:abstractNumId w:val="20"/>
  </w:num>
  <w:num w:numId="8">
    <w:abstractNumId w:val="22"/>
  </w:num>
  <w:num w:numId="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1"/>
  </w:num>
  <w:num w:numId="12">
    <w:abstractNumId w:val="23"/>
  </w:num>
  <w:num w:numId="13">
    <w:abstractNumId w:val="9"/>
  </w:num>
  <w:num w:numId="14">
    <w:abstractNumId w:val="29"/>
  </w:num>
  <w:num w:numId="15">
    <w:abstractNumId w:val="14"/>
  </w:num>
  <w:num w:numId="16">
    <w:abstractNumId w:val="18"/>
  </w:num>
  <w:num w:numId="17">
    <w:abstractNumId w:val="2"/>
  </w:num>
  <w:num w:numId="18">
    <w:abstractNumId w:val="40"/>
  </w:num>
  <w:num w:numId="19">
    <w:abstractNumId w:val="37"/>
  </w:num>
  <w:num w:numId="20">
    <w:abstractNumId w:val="27"/>
  </w:num>
  <w:num w:numId="21">
    <w:abstractNumId w:val="10"/>
  </w:num>
  <w:num w:numId="22">
    <w:abstractNumId w:val="32"/>
  </w:num>
  <w:num w:numId="23">
    <w:abstractNumId w:val="31"/>
  </w:num>
  <w:num w:numId="24">
    <w:abstractNumId w:val="30"/>
  </w:num>
  <w:num w:numId="25">
    <w:abstractNumId w:val="19"/>
  </w:num>
  <w:num w:numId="26">
    <w:abstractNumId w:val="35"/>
  </w:num>
  <w:num w:numId="27">
    <w:abstractNumId w:val="33"/>
  </w:num>
  <w:num w:numId="28">
    <w:abstractNumId w:val="24"/>
  </w:num>
  <w:num w:numId="29">
    <w:abstractNumId w:val="11"/>
  </w:num>
  <w:num w:numId="30">
    <w:abstractNumId w:val="12"/>
  </w:num>
  <w:num w:numId="31">
    <w:abstractNumId w:val="4"/>
  </w:num>
  <w:num w:numId="32">
    <w:abstractNumId w:val="39"/>
  </w:num>
  <w:num w:numId="33">
    <w:abstractNumId w:val="8"/>
  </w:num>
  <w:num w:numId="34">
    <w:abstractNumId w:val="3"/>
  </w:num>
  <w:num w:numId="35">
    <w:abstractNumId w:val="16"/>
  </w:num>
  <w:num w:numId="36">
    <w:abstractNumId w:val="5"/>
  </w:num>
  <w:num w:numId="37">
    <w:abstractNumId w:val="26"/>
  </w:num>
  <w:num w:numId="38">
    <w:abstractNumId w:val="13"/>
  </w:num>
  <w:num w:numId="39">
    <w:abstractNumId w:val="21"/>
  </w:num>
  <w:num w:numId="40">
    <w:abstractNumId w:val="7"/>
  </w:num>
  <w:num w:numId="41">
    <w:abstractNumId w:val="6"/>
  </w:num>
  <w:num w:numId="42">
    <w:abstractNumId w:val="28"/>
  </w:num>
  <w:num w:numId="43">
    <w:abstractNumId w:val="25"/>
  </w:num>
  <w:num w:numId="44">
    <w:abstractNumId w:val="15"/>
  </w:num>
  <w:num w:numId="45">
    <w:abstractNumId w:val="36"/>
  </w:num>
  <w:num w:numId="46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2025-05-13T07:55:00Z</dcterms:created>
  <dcterms:modified xsi:type="dcterms:W3CDTF">2025-05-13T07:55:00Z</dcterms:modified>
</cp:coreProperties>
</file>