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0"/>
      </w:pPr>
      <w:r/>
      <w:r/>
    </w:p>
    <w:p>
      <w:pPr>
        <w:jc w:val="both"/>
        <w:spacing w:after="0" w:line="240" w:lineRule="auto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  <w:highlight w:val="none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555 земельных участков и территорий Забайкальского края включены в онлайн-сервис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«Земля для стройки»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На территории Забайкальского края гражданам и застройщикам доступны 555 земельных участков и территорий общей площадью 1500 га</w:t>
      </w:r>
      <w:r>
        <w:rPr>
          <w:rFonts w:ascii="Tinos" w:hAnsi="Tinos" w:eastAsia="Tinos" w:cs="Tinos"/>
          <w:sz w:val="28"/>
          <w:szCs w:val="28"/>
        </w:rPr>
        <w:t xml:space="preserve">, </w:t>
      </w:r>
      <w:r>
        <w:rPr>
          <w:rFonts w:ascii="Tinos" w:hAnsi="Tinos" w:eastAsia="Tinos" w:cs="Tinos"/>
          <w:sz w:val="28"/>
          <w:szCs w:val="28"/>
        </w:rPr>
        <w:t xml:space="preserve">потенциально </w:t>
      </w:r>
      <w:r>
        <w:rPr>
          <w:rFonts w:ascii="Tinos" w:hAnsi="Tinos" w:eastAsia="Tinos" w:cs="Tinos"/>
          <w:bCs/>
          <w:sz w:val="28"/>
          <w:szCs w:val="28"/>
        </w:rPr>
        <w:t xml:space="preserve">возможных для вовлечения под жилищное строительство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 рамках национального проекта «Инфраструктура для жизни» </w:t>
      </w:r>
      <w:r>
        <w:rPr>
          <w:rFonts w:ascii="Tinos" w:hAnsi="Tinos" w:eastAsia="Tinos" w:cs="Tinos"/>
          <w:sz w:val="28"/>
          <w:szCs w:val="28"/>
        </w:rPr>
        <w:t xml:space="preserve">Росреестр</w:t>
      </w:r>
      <w:r>
        <w:rPr>
          <w:rFonts w:ascii="Tinos" w:hAnsi="Tinos" w:eastAsia="Tinos" w:cs="Tinos"/>
          <w:sz w:val="28"/>
          <w:szCs w:val="28"/>
        </w:rPr>
        <w:t xml:space="preserve">ом</w:t>
      </w:r>
      <w:r>
        <w:rPr>
          <w:rFonts w:ascii="Tinos" w:hAnsi="Tinos" w:eastAsia="Tinos" w:cs="Tinos"/>
          <w:sz w:val="28"/>
          <w:szCs w:val="28"/>
        </w:rPr>
        <w:t xml:space="preserve"> реализуется проект «Земля для стройки» с целью анализа эффективности использования земель, пригодных для жилищного строительства.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4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4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Для реализации проекта Управлением </w:t>
      </w:r>
      <w:r>
        <w:rPr>
          <w:rFonts w:ascii="Tinos" w:hAnsi="Tinos" w:eastAsia="Tinos" w:cs="Tinos"/>
          <w:sz w:val="28"/>
          <w:szCs w:val="28"/>
        </w:rPr>
        <w:t xml:space="preserve">Росреестра</w:t>
      </w:r>
      <w:r>
        <w:rPr>
          <w:rFonts w:ascii="Tinos" w:hAnsi="Tinos" w:eastAsia="Tinos" w:cs="Tinos"/>
          <w:sz w:val="28"/>
          <w:szCs w:val="28"/>
        </w:rPr>
        <w:t xml:space="preserve"> по Забайкальскому краю создан оперативный штаб по выявлению неэффективно используемых земельных участков.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 состав оперативного штаба вошли представители филиала ППК «</w:t>
      </w:r>
      <w:r>
        <w:rPr>
          <w:rFonts w:ascii="Tinos" w:hAnsi="Tinos" w:eastAsia="Tinos" w:cs="Tinos"/>
          <w:sz w:val="28"/>
          <w:szCs w:val="28"/>
        </w:rPr>
        <w:t xml:space="preserve">Роскадастр</w:t>
      </w:r>
      <w:r>
        <w:rPr>
          <w:rFonts w:ascii="Tinos" w:hAnsi="Tinos" w:eastAsia="Tinos" w:cs="Tinos"/>
          <w:sz w:val="28"/>
          <w:szCs w:val="28"/>
        </w:rPr>
        <w:t xml:space="preserve">» по Забайкальскому краю, Департамента государственного имущества и земельных отношений Забайкальского края и ряда других заинтересованных органов власти и организаций.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4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i/>
          <w:sz w:val="28"/>
          <w:szCs w:val="28"/>
        </w:rPr>
      </w:pPr>
      <w:r>
        <w:rPr>
          <w:rFonts w:ascii="Tinos" w:hAnsi="Tinos" w:eastAsia="Tinos" w:cs="Tinos"/>
          <w:i/>
          <w:sz w:val="28"/>
          <w:szCs w:val="28"/>
        </w:rPr>
      </w:r>
      <w:r>
        <w:rPr>
          <w:rFonts w:ascii="Tinos" w:hAnsi="Tinos" w:eastAsia="Tinos" w:cs="Tinos"/>
          <w:i/>
          <w:sz w:val="28"/>
          <w:szCs w:val="28"/>
        </w:rPr>
      </w:r>
      <w:r>
        <w:rPr>
          <w:rFonts w:ascii="Tinos" w:hAnsi="Tinos" w:cs="Tinos"/>
          <w:i/>
          <w:sz w:val="28"/>
          <w:szCs w:val="28"/>
        </w:rPr>
      </w:r>
    </w:p>
    <w:p>
      <w:pPr>
        <w:pStyle w:val="974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bCs/>
          <w:sz w:val="28"/>
          <w:szCs w:val="28"/>
        </w:rPr>
        <w:t xml:space="preserve">Большинство земельных участков</w:t>
      </w:r>
      <w:r>
        <w:rPr>
          <w:rFonts w:ascii="Tinos" w:hAnsi="Tinos" w:eastAsia="Tinos" w:cs="Tinos"/>
          <w:bCs/>
          <w:sz w:val="28"/>
          <w:szCs w:val="28"/>
        </w:rPr>
        <w:t xml:space="preserve">, зон</w:t>
      </w:r>
      <w:r>
        <w:rPr>
          <w:rFonts w:ascii="Tinos" w:hAnsi="Tinos" w:eastAsia="Tinos" w:cs="Tinos"/>
          <w:bCs/>
          <w:sz w:val="28"/>
          <w:szCs w:val="28"/>
        </w:rPr>
        <w:t xml:space="preserve"> и территорий</w:t>
      </w:r>
      <w:r>
        <w:rPr>
          <w:rFonts w:ascii="Tinos" w:hAnsi="Tinos" w:eastAsia="Tinos" w:cs="Tinos"/>
          <w:bCs/>
          <w:sz w:val="28"/>
          <w:szCs w:val="28"/>
        </w:rPr>
        <w:t xml:space="preserve"> находятся в </w:t>
      </w:r>
      <w:r>
        <w:rPr>
          <w:rFonts w:ascii="Tinos" w:hAnsi="Tinos" w:eastAsia="Tinos" w:cs="Tinos"/>
          <w:bCs/>
          <w:sz w:val="28"/>
          <w:szCs w:val="28"/>
        </w:rPr>
        <w:t xml:space="preserve">неразграниченной собственности, а также в </w:t>
      </w:r>
      <w:r>
        <w:rPr>
          <w:rFonts w:ascii="Tinos" w:hAnsi="Tinos" w:eastAsia="Tinos" w:cs="Tinos"/>
          <w:bCs/>
          <w:sz w:val="28"/>
          <w:szCs w:val="28"/>
        </w:rPr>
        <w:t xml:space="preserve">федеральной, региональной либо муниципальной собственности. </w:t>
      </w:r>
      <w:r>
        <w:rPr>
          <w:rFonts w:ascii="Tinos" w:hAnsi="Tinos" w:eastAsia="Tinos" w:cs="Tinos"/>
          <w:sz w:val="28"/>
          <w:szCs w:val="28"/>
        </w:rPr>
        <w:t xml:space="preserve">Земли расположены в г. Чите</w:t>
      </w:r>
      <w:r>
        <w:rPr>
          <w:rFonts w:ascii="Tinos" w:hAnsi="Tinos" w:eastAsia="Tinos" w:cs="Tinos"/>
          <w:sz w:val="28"/>
          <w:szCs w:val="28"/>
        </w:rPr>
        <w:t xml:space="preserve"> и Читинском районе</w:t>
      </w:r>
      <w:r>
        <w:rPr>
          <w:rFonts w:ascii="Tinos" w:hAnsi="Tinos" w:eastAsia="Tinos" w:cs="Tinos"/>
          <w:sz w:val="28"/>
          <w:szCs w:val="28"/>
        </w:rPr>
        <w:t xml:space="preserve">, г. Петровск-Забайкальске, г. Шилке, </w:t>
      </w:r>
      <w:r>
        <w:rPr>
          <w:rFonts w:ascii="Tinos" w:hAnsi="Tinos" w:eastAsia="Tinos" w:cs="Tinos"/>
          <w:sz w:val="28"/>
          <w:szCs w:val="28"/>
        </w:rPr>
        <w:t xml:space="preserve">пгт</w:t>
      </w:r>
      <w:r>
        <w:rPr>
          <w:rFonts w:ascii="Tinos" w:hAnsi="Tinos" w:eastAsia="Tinos" w:cs="Tinos"/>
          <w:sz w:val="28"/>
          <w:szCs w:val="28"/>
        </w:rPr>
        <w:t xml:space="preserve">. Агинское, г. Хилок, г. Сретенск, г. Нерчинск, п. Лесной городок, </w:t>
      </w:r>
      <w:r>
        <w:rPr>
          <w:rFonts w:ascii="Tinos" w:hAnsi="Tinos" w:eastAsia="Tinos" w:cs="Tinos"/>
          <w:sz w:val="28"/>
          <w:szCs w:val="28"/>
        </w:rPr>
        <w:t xml:space="preserve">пгт</w:t>
      </w:r>
      <w:r>
        <w:rPr>
          <w:rFonts w:ascii="Tinos" w:hAnsi="Tinos" w:eastAsia="Tinos" w:cs="Tinos"/>
          <w:sz w:val="28"/>
          <w:szCs w:val="28"/>
        </w:rPr>
        <w:t xml:space="preserve">. Забайкальск, п. Ясногорск, </w:t>
      </w:r>
      <w:r>
        <w:rPr>
          <w:rFonts w:ascii="Tinos" w:hAnsi="Tinos" w:eastAsia="Tinos" w:cs="Tinos"/>
          <w:sz w:val="28"/>
          <w:szCs w:val="28"/>
        </w:rPr>
        <w:t xml:space="preserve">пгт</w:t>
      </w:r>
      <w:r>
        <w:rPr>
          <w:rFonts w:ascii="Tinos" w:hAnsi="Tinos" w:eastAsia="Tinos" w:cs="Tinos"/>
          <w:sz w:val="28"/>
          <w:szCs w:val="28"/>
        </w:rPr>
        <w:t xml:space="preserve">. Новая Чара, г. Могоча, </w:t>
      </w:r>
      <w:r>
        <w:rPr>
          <w:rFonts w:ascii="Tinos" w:hAnsi="Tinos" w:eastAsia="Tinos" w:cs="Tinos"/>
          <w:sz w:val="28"/>
          <w:szCs w:val="28"/>
        </w:rPr>
        <w:t xml:space="preserve">пгт</w:t>
      </w:r>
      <w:r>
        <w:rPr>
          <w:rFonts w:ascii="Tinos" w:hAnsi="Tinos" w:eastAsia="Tinos" w:cs="Tinos"/>
          <w:sz w:val="28"/>
          <w:szCs w:val="28"/>
        </w:rPr>
        <w:t xml:space="preserve">. Чернышевск и других населенных пунктах.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- </w:t>
      </w:r>
      <w:r>
        <w:rPr>
          <w:rFonts w:ascii="Tinos" w:hAnsi="Tinos" w:eastAsia="Tinos" w:cs="Tinos"/>
          <w:sz w:val="28"/>
          <w:szCs w:val="28"/>
        </w:rPr>
        <w:t xml:space="preserve">Общая </w:t>
      </w:r>
      <w:r>
        <w:rPr>
          <w:rFonts w:ascii="Tinos" w:hAnsi="Tinos" w:eastAsia="Tinos" w:cs="Tinos"/>
          <w:sz w:val="28"/>
          <w:szCs w:val="28"/>
        </w:rPr>
        <w:t xml:space="preserve">площадь</w:t>
      </w:r>
      <w:r>
        <w:rPr>
          <w:rFonts w:ascii="Tinos" w:hAnsi="Tinos" w:eastAsia="Tinos" w:cs="Tinos"/>
          <w:sz w:val="28"/>
          <w:szCs w:val="28"/>
        </w:rPr>
        <w:t xml:space="preserve"> земельных участков составила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1</w:t>
      </w:r>
      <w:r>
        <w:rPr>
          <w:rFonts w:ascii="Tinos" w:hAnsi="Tinos" w:eastAsia="Tinos" w:cs="Tinos"/>
          <w:sz w:val="28"/>
          <w:szCs w:val="28"/>
        </w:rPr>
        <w:t xml:space="preserve">474</w:t>
      </w:r>
      <w:r>
        <w:rPr>
          <w:rFonts w:ascii="Tinos" w:hAnsi="Tinos" w:eastAsia="Tinos" w:cs="Tinos"/>
          <w:sz w:val="28"/>
          <w:szCs w:val="28"/>
        </w:rPr>
        <w:t xml:space="preserve"> г</w:t>
      </w:r>
      <w:r>
        <w:rPr>
          <w:rFonts w:ascii="Tinos" w:hAnsi="Tinos" w:eastAsia="Tinos" w:cs="Tinos"/>
          <w:sz w:val="28"/>
          <w:szCs w:val="28"/>
        </w:rPr>
        <w:t xml:space="preserve">ектара. Д</w:t>
      </w:r>
      <w:r>
        <w:rPr>
          <w:rFonts w:ascii="Tinos" w:hAnsi="Tinos" w:eastAsia="Tinos" w:cs="Tinos"/>
          <w:bCs/>
          <w:sz w:val="28"/>
          <w:szCs w:val="28"/>
        </w:rPr>
        <w:t xml:space="preserve">ля индивидуального жилищного строительства выделено </w:t>
      </w:r>
      <w:r>
        <w:rPr>
          <w:rFonts w:ascii="Tinos" w:hAnsi="Tinos" w:eastAsia="Tinos" w:cs="Tinos"/>
          <w:bCs/>
          <w:sz w:val="28"/>
          <w:szCs w:val="28"/>
        </w:rPr>
        <w:t xml:space="preserve">6</w:t>
      </w:r>
      <w:r>
        <w:rPr>
          <w:rFonts w:ascii="Tinos" w:hAnsi="Tinos" w:eastAsia="Tinos" w:cs="Tinos"/>
          <w:bCs/>
          <w:sz w:val="28"/>
          <w:szCs w:val="28"/>
        </w:rPr>
        <w:t xml:space="preserve">43</w:t>
      </w:r>
      <w:r>
        <w:rPr>
          <w:rFonts w:ascii="Tinos" w:hAnsi="Tinos" w:eastAsia="Tinos" w:cs="Tinos"/>
          <w:bCs/>
          <w:sz w:val="28"/>
          <w:szCs w:val="28"/>
        </w:rPr>
        <w:t xml:space="preserve"> га, для расположения многоквартирных домов</w:t>
      </w:r>
      <w:r>
        <w:rPr>
          <w:rFonts w:ascii="Tinos" w:hAnsi="Tinos" w:eastAsia="Tinos" w:cs="Tinos"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bCs/>
          <w:sz w:val="28"/>
          <w:szCs w:val="28"/>
        </w:rPr>
        <w:t xml:space="preserve">–</w:t>
      </w:r>
      <w:r>
        <w:rPr>
          <w:rFonts w:ascii="Tinos" w:hAnsi="Tinos" w:eastAsia="Tinos" w:cs="Tinos"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bCs/>
          <w:sz w:val="28"/>
          <w:szCs w:val="28"/>
        </w:rPr>
        <w:t xml:space="preserve">831 га</w:t>
      </w:r>
      <w:r>
        <w:rPr>
          <w:rFonts w:ascii="Tinos" w:hAnsi="Tinos" w:eastAsia="Tinos" w:cs="Tinos"/>
          <w:bCs/>
          <w:sz w:val="28"/>
          <w:szCs w:val="28"/>
        </w:rPr>
        <w:t xml:space="preserve">.</w:t>
      </w:r>
      <w:r>
        <w:rPr>
          <w:rFonts w:ascii="Tinos" w:hAnsi="Tinos" w:eastAsia="Tinos" w:cs="Tinos"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bCs/>
          <w:sz w:val="28"/>
          <w:szCs w:val="28"/>
        </w:rPr>
        <w:t xml:space="preserve">7</w:t>
      </w:r>
      <w:r>
        <w:rPr>
          <w:rFonts w:ascii="Tinos" w:hAnsi="Tinos" w:eastAsia="Tinos" w:cs="Tinos"/>
          <w:bCs/>
          <w:sz w:val="28"/>
          <w:szCs w:val="28"/>
        </w:rPr>
        <w:t xml:space="preserve">7 земельных участков</w:t>
      </w:r>
      <w:r>
        <w:rPr>
          <w:rFonts w:ascii="Tinos" w:hAnsi="Tinos" w:eastAsia="Tinos" w:cs="Tinos"/>
          <w:bCs/>
          <w:sz w:val="28"/>
          <w:szCs w:val="28"/>
        </w:rPr>
        <w:t xml:space="preserve"> </w:t>
      </w:r>
      <w:r>
        <w:rPr>
          <w:rFonts w:ascii="Tinos" w:hAnsi="Tinos" w:eastAsia="Tinos" w:cs="Tinos"/>
          <w:bCs/>
          <w:sz w:val="28"/>
          <w:szCs w:val="28"/>
        </w:rPr>
        <w:t xml:space="preserve">общей </w:t>
      </w:r>
      <w:r>
        <w:rPr>
          <w:rFonts w:ascii="Tinos" w:hAnsi="Tinos" w:eastAsia="Tinos" w:cs="Tinos"/>
          <w:bCs/>
          <w:sz w:val="28"/>
          <w:szCs w:val="28"/>
        </w:rPr>
        <w:t xml:space="preserve">площадью 1</w:t>
      </w:r>
      <w:r>
        <w:rPr>
          <w:rFonts w:ascii="Tinos" w:hAnsi="Tinos" w:eastAsia="Tinos" w:cs="Tinos"/>
          <w:bCs/>
          <w:sz w:val="28"/>
          <w:szCs w:val="28"/>
        </w:rPr>
        <w:t xml:space="preserve">50 гектаров </w:t>
      </w:r>
      <w:r>
        <w:rPr>
          <w:rFonts w:ascii="Tinos" w:hAnsi="Tinos" w:eastAsia="Tinos" w:cs="Tinos"/>
          <w:bCs/>
          <w:sz w:val="28"/>
          <w:szCs w:val="28"/>
        </w:rPr>
        <w:t xml:space="preserve">уже </w:t>
      </w:r>
      <w:r>
        <w:rPr>
          <w:rFonts w:ascii="Tinos" w:hAnsi="Tinos" w:eastAsia="Tinos" w:cs="Tinos"/>
          <w:bCs/>
          <w:sz w:val="28"/>
          <w:szCs w:val="28"/>
        </w:rPr>
        <w:t xml:space="preserve">вовлечены в </w:t>
      </w:r>
      <w:r>
        <w:rPr>
          <w:rFonts w:ascii="Tinos" w:hAnsi="Tinos" w:eastAsia="Tinos" w:cs="Tinos"/>
          <w:sz w:val="28"/>
          <w:szCs w:val="28"/>
        </w:rPr>
        <w:t xml:space="preserve">оборот под жилищное строительство</w:t>
      </w:r>
      <w:r>
        <w:rPr>
          <w:rFonts w:ascii="Tinos" w:hAnsi="Tinos" w:eastAsia="Tinos" w:cs="Tinos"/>
          <w:bCs/>
          <w:sz w:val="28"/>
          <w:szCs w:val="28"/>
        </w:rPr>
        <w:t xml:space="preserve">, – отме</w:t>
      </w:r>
      <w:r>
        <w:rPr>
          <w:rFonts w:ascii="Tinos" w:hAnsi="Tinos" w:eastAsia="Tinos" w:cs="Tinos"/>
          <w:bCs/>
          <w:sz w:val="28"/>
          <w:szCs w:val="28"/>
        </w:rPr>
        <w:t xml:space="preserve">чает Оксана Крылова</w:t>
      </w:r>
      <w:r>
        <w:rPr>
          <w:rFonts w:ascii="Tinos" w:hAnsi="Tinos" w:eastAsia="Tinos" w:cs="Tinos"/>
          <w:bCs/>
          <w:sz w:val="28"/>
          <w:szCs w:val="28"/>
        </w:rPr>
        <w:t xml:space="preserve">, руководител</w:t>
      </w:r>
      <w:r>
        <w:rPr>
          <w:rFonts w:ascii="Tinos" w:hAnsi="Tinos" w:eastAsia="Tinos" w:cs="Tinos"/>
          <w:bCs/>
          <w:sz w:val="28"/>
          <w:szCs w:val="28"/>
        </w:rPr>
        <w:t xml:space="preserve">ь</w:t>
      </w:r>
      <w:r>
        <w:rPr>
          <w:rFonts w:ascii="Tinos" w:hAnsi="Tinos" w:eastAsia="Tinos" w:cs="Tinos"/>
          <w:bCs/>
          <w:sz w:val="28"/>
          <w:szCs w:val="28"/>
        </w:rPr>
        <w:t xml:space="preserve"> Управления </w:t>
      </w:r>
      <w:r>
        <w:rPr>
          <w:rFonts w:ascii="Tinos" w:hAnsi="Tinos" w:eastAsia="Tinos" w:cs="Tinos"/>
          <w:bCs/>
          <w:sz w:val="28"/>
          <w:szCs w:val="28"/>
        </w:rPr>
        <w:t xml:space="preserve">Росреестра</w:t>
      </w:r>
      <w:r>
        <w:rPr>
          <w:rFonts w:ascii="Tinos" w:hAnsi="Tinos" w:eastAsia="Tinos" w:cs="Tinos"/>
          <w:bCs/>
          <w:sz w:val="28"/>
          <w:szCs w:val="28"/>
        </w:rPr>
        <w:t xml:space="preserve"> по Забайкальскому краю.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4"/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  <w:lang w:eastAsia="ru-RU"/>
        </w:rPr>
      </w:pPr>
      <w:r>
        <w:rPr>
          <w:rFonts w:ascii="Tinos" w:hAnsi="Tinos" w:eastAsia="Tinos" w:cs="Tinos"/>
          <w:sz w:val="28"/>
          <w:szCs w:val="28"/>
          <w:highlight w:val="none"/>
          <w:lang w:eastAsia="ru-RU"/>
        </w:rPr>
        <w:t xml:space="preserve">В 2024 году 3 земельных участка вовлечены под жилищное строительство в составе проекта «Дальневосточный квартал».</w:t>
      </w:r>
      <w:r>
        <w:rPr>
          <w:rFonts w:ascii="Tinos" w:hAnsi="Tinos" w:eastAsia="Tinos" w:cs="Tinos"/>
          <w:sz w:val="28"/>
          <w:szCs w:val="28"/>
          <w:lang w:eastAsia="ru-RU"/>
        </w:rPr>
      </w:r>
      <w:r>
        <w:rPr>
          <w:rFonts w:ascii="Tinos" w:hAnsi="Tinos" w:eastAsia="Tinos" w:cs="Tinos"/>
          <w:sz w:val="28"/>
          <w:szCs w:val="28"/>
          <w:lang w:eastAsia="ru-RU"/>
        </w:rPr>
      </w:r>
    </w:p>
    <w:p>
      <w:pPr>
        <w:ind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74"/>
        <w:ind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 2024 году </w:t>
      </w:r>
      <w:r>
        <w:rPr>
          <w:rFonts w:ascii="Tinos" w:hAnsi="Tinos" w:eastAsia="Tinos" w:cs="Tinos"/>
          <w:sz w:val="28"/>
          <w:szCs w:val="28"/>
        </w:rPr>
        <w:t xml:space="preserve">площадь земель, выявленных для вовлечения в оборот в целях жилищного строительства (далее – площадь), была увеличена</w:t>
      </w:r>
      <w:r>
        <w:rPr>
          <w:rFonts w:ascii="Tinos" w:hAnsi="Tinos" w:eastAsia="Tinos" w:cs="Tinos"/>
          <w:sz w:val="28"/>
          <w:szCs w:val="28"/>
        </w:rPr>
        <w:t xml:space="preserve"> на 53,8 га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  <w:t xml:space="preserve"> В 2025 году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планируется увеличить площадь на 18,8 га.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974"/>
        <w:ind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974"/>
        <w:ind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 целях получения информации о земельных участках и</w:t>
      </w:r>
      <w:r>
        <w:rPr>
          <w:rFonts w:ascii="Tinos" w:hAnsi="Tinos" w:eastAsia="Tinos" w:cs="Tinos"/>
          <w:sz w:val="28"/>
          <w:szCs w:val="28"/>
        </w:rPr>
        <w:t xml:space="preserve"> территориях в Забайкальском крае заинтересованные в получении земельного участка лица, могут воспользоваться сервисом «Земля для стройки» на портале «Национальная система пространственных данных» по ссылке </w:t>
      </w:r>
      <w:r>
        <w:rPr>
          <w:rFonts w:ascii="Tinos" w:hAnsi="Tinos" w:eastAsia="Tinos" w:cs="Tinos"/>
          <w:sz w:val="28"/>
          <w:szCs w:val="28"/>
        </w:rPr>
      </w:r>
      <w:hyperlink r:id="rId16" w:tooltip="https://nspd.gov.ru/#top_section" w:history="1">
        <w:r>
          <w:rPr>
            <w:rStyle w:val="963"/>
            <w:rFonts w:ascii="Tinos" w:hAnsi="Tinos" w:eastAsia="Tinos" w:cs="Tinos"/>
            <w:sz w:val="28"/>
            <w:szCs w:val="28"/>
          </w:rPr>
          <w:t xml:space="preserve">https://nspd.gov.ru/</w:t>
        </w:r>
      </w:hyperlink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Сервис не только покажет земельные участки, пригодные для строительства жилья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в регионах России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, но и поможет подать обращение в уполномоченный орган в отношении выбранного объекта. </w:t>
      </w:r>
      <w:r>
        <w:rPr>
          <w:rFonts w:ascii="Tinos" w:hAnsi="Tinos" w:eastAsia="Tinos" w:cs="Tinos"/>
          <w:sz w:val="28"/>
          <w:szCs w:val="28"/>
        </w:rPr>
        <w:t xml:space="preserve">Для этого необходимо кликнуть по ссылке «Подать обращение», заполнить открывшуюся форму и отправить ее в уполномоченный орган.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РосреестрЧита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ЗабайкальскийРосреестр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Росреестр75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Недвижимость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БанкЗемли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ЗемляДляСтройки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#</w:t>
      </w:r>
      <w:r>
        <w:rPr>
          <w:rFonts w:ascii="Tinos" w:hAnsi="Tinos" w:eastAsia="Tinos" w:cs="Tinos"/>
          <w:sz w:val="28"/>
          <w:szCs w:val="28"/>
        </w:rPr>
        <w:t xml:space="preserve">НСПД</w:t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egoe UI">
    <w:panose1 w:val="020B050204050402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5"/>
    <w:link w:val="954"/>
    <w:uiPriority w:val="9"/>
    <w:rPr>
      <w:rFonts w:ascii="Arial" w:hAnsi="Arial" w:eastAsia="Arial" w:cs="Arial"/>
      <w:sz w:val="40"/>
      <w:szCs w:val="40"/>
    </w:rPr>
  </w:style>
  <w:style w:type="paragraph" w:styleId="782">
    <w:name w:val="Heading 2"/>
    <w:basedOn w:val="953"/>
    <w:next w:val="953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3">
    <w:name w:val="Heading 2 Char"/>
    <w:basedOn w:val="955"/>
    <w:link w:val="782"/>
    <w:uiPriority w:val="9"/>
    <w:rPr>
      <w:rFonts w:ascii="Arial" w:hAnsi="Arial" w:eastAsia="Arial" w:cs="Arial"/>
      <w:sz w:val="34"/>
    </w:rPr>
  </w:style>
  <w:style w:type="paragraph" w:styleId="784">
    <w:name w:val="Heading 3"/>
    <w:basedOn w:val="953"/>
    <w:next w:val="953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5">
    <w:name w:val="Heading 3 Char"/>
    <w:basedOn w:val="955"/>
    <w:link w:val="784"/>
    <w:uiPriority w:val="9"/>
    <w:rPr>
      <w:rFonts w:ascii="Arial" w:hAnsi="Arial" w:eastAsia="Arial" w:cs="Arial"/>
      <w:sz w:val="30"/>
      <w:szCs w:val="30"/>
    </w:rPr>
  </w:style>
  <w:style w:type="paragraph" w:styleId="786">
    <w:name w:val="Heading 4"/>
    <w:basedOn w:val="953"/>
    <w:next w:val="953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7">
    <w:name w:val="Heading 4 Char"/>
    <w:basedOn w:val="955"/>
    <w:link w:val="786"/>
    <w:uiPriority w:val="9"/>
    <w:rPr>
      <w:rFonts w:ascii="Arial" w:hAnsi="Arial" w:eastAsia="Arial" w:cs="Arial"/>
      <w:b/>
      <w:bCs/>
      <w:sz w:val="26"/>
      <w:szCs w:val="26"/>
    </w:rPr>
  </w:style>
  <w:style w:type="paragraph" w:styleId="788">
    <w:name w:val="Heading 5"/>
    <w:basedOn w:val="953"/>
    <w:next w:val="953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9">
    <w:name w:val="Heading 5 Char"/>
    <w:basedOn w:val="955"/>
    <w:link w:val="788"/>
    <w:uiPriority w:val="9"/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953"/>
    <w:next w:val="953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1">
    <w:name w:val="Heading 6 Char"/>
    <w:basedOn w:val="955"/>
    <w:link w:val="790"/>
    <w:uiPriority w:val="9"/>
    <w:rPr>
      <w:rFonts w:ascii="Arial" w:hAnsi="Arial" w:eastAsia="Arial" w:cs="Arial"/>
      <w:b/>
      <w:bCs/>
      <w:sz w:val="22"/>
      <w:szCs w:val="22"/>
    </w:rPr>
  </w:style>
  <w:style w:type="paragraph" w:styleId="792">
    <w:name w:val="Heading 7"/>
    <w:basedOn w:val="953"/>
    <w:next w:val="953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7 Char"/>
    <w:basedOn w:val="955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4">
    <w:name w:val="Heading 8"/>
    <w:basedOn w:val="953"/>
    <w:next w:val="953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5">
    <w:name w:val="Heading 8 Char"/>
    <w:basedOn w:val="955"/>
    <w:link w:val="794"/>
    <w:uiPriority w:val="9"/>
    <w:rPr>
      <w:rFonts w:ascii="Arial" w:hAnsi="Arial" w:eastAsia="Arial" w:cs="Arial"/>
      <w:i/>
      <w:iCs/>
      <w:sz w:val="22"/>
      <w:szCs w:val="22"/>
    </w:rPr>
  </w:style>
  <w:style w:type="paragraph" w:styleId="796">
    <w:name w:val="Heading 9"/>
    <w:basedOn w:val="953"/>
    <w:next w:val="953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7">
    <w:name w:val="Heading 9 Char"/>
    <w:basedOn w:val="955"/>
    <w:link w:val="796"/>
    <w:uiPriority w:val="9"/>
    <w:rPr>
      <w:rFonts w:ascii="Arial" w:hAnsi="Arial" w:eastAsia="Arial" w:cs="Arial"/>
      <w:i/>
      <w:iCs/>
      <w:sz w:val="21"/>
      <w:szCs w:val="21"/>
    </w:rPr>
  </w:style>
  <w:style w:type="paragraph" w:styleId="798">
    <w:name w:val="Title"/>
    <w:basedOn w:val="953"/>
    <w:next w:val="953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5"/>
    <w:link w:val="798"/>
    <w:uiPriority w:val="10"/>
    <w:rPr>
      <w:sz w:val="48"/>
      <w:szCs w:val="48"/>
    </w:rPr>
  </w:style>
  <w:style w:type="paragraph" w:styleId="800">
    <w:name w:val="Subtitle"/>
    <w:basedOn w:val="953"/>
    <w:next w:val="953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5"/>
    <w:link w:val="800"/>
    <w:uiPriority w:val="11"/>
    <w:rPr>
      <w:sz w:val="24"/>
      <w:szCs w:val="24"/>
    </w:rPr>
  </w:style>
  <w:style w:type="paragraph" w:styleId="802">
    <w:name w:val="Quote"/>
    <w:basedOn w:val="953"/>
    <w:next w:val="953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3"/>
    <w:next w:val="953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5"/>
    <w:link w:val="970"/>
    <w:uiPriority w:val="99"/>
  </w:style>
  <w:style w:type="character" w:styleId="807">
    <w:name w:val="Footer Char"/>
    <w:basedOn w:val="955"/>
    <w:link w:val="972"/>
    <w:uiPriority w:val="99"/>
  </w:style>
  <w:style w:type="paragraph" w:styleId="808">
    <w:name w:val="Caption"/>
    <w:basedOn w:val="953"/>
    <w:next w:val="9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808"/>
    <w:link w:val="972"/>
    <w:uiPriority w:val="99"/>
  </w:style>
  <w:style w:type="table" w:styleId="810">
    <w:name w:val="Table Grid"/>
    <w:basedOn w:val="9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Table Grid Light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1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2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>
    <w:name w:val="Plain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Plain Table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>
    <w:name w:val="Grid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>
    <w:name w:val="Grid Table 4 - Accent 1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0">
    <w:name w:val="Grid Table 4 - Accent 2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Grid Table 4 - Accent 3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2">
    <w:name w:val="Grid Table 4 - Accent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Grid Table 4 - Accent 5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4">
    <w:name w:val="Grid Table 4 - Accent 6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5">
    <w:name w:val="Grid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9">
    <w:name w:val="Grid Table 5 Dark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2">
    <w:name w:val="Grid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3">
    <w:name w:val="Grid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4">
    <w:name w:val="Grid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5">
    <w:name w:val="Grid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6">
    <w:name w:val="Grid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7">
    <w:name w:val="Grid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4">
    <w:name w:val="List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5">
    <w:name w:val="List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6">
    <w:name w:val="List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7">
    <w:name w:val="List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8">
    <w:name w:val="List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9">
    <w:name w:val="List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0">
    <w:name w:val="List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2">
    <w:name w:val="List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3">
    <w:name w:val="List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4">
    <w:name w:val="List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5">
    <w:name w:val="List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6">
    <w:name w:val="List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7">
    <w:name w:val="List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8">
    <w:name w:val="List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9">
    <w:name w:val="List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0">
    <w:name w:val="List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1">
    <w:name w:val="List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2">
    <w:name w:val="List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3">
    <w:name w:val="List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4">
    <w:name w:val="List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5">
    <w:name w:val="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7">
    <w:name w:val="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8">
    <w:name w:val="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9">
    <w:name w:val="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0">
    <w:name w:val="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1">
    <w:name w:val="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2">
    <w:name w:val="Bordered &amp; 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Bordered &amp; 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Bordered &amp; 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Bordered &amp; 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Bordered &amp; 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Bordered &amp; 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Bordered &amp; 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0">
    <w:name w:val="Bordered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1">
    <w:name w:val="Bordered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2">
    <w:name w:val="Bordered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3">
    <w:name w:val="Bordered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4">
    <w:name w:val="Bordered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5">
    <w:name w:val="Bordered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6">
    <w:name w:val="footnote text"/>
    <w:basedOn w:val="953"/>
    <w:link w:val="937"/>
    <w:uiPriority w:val="99"/>
    <w:semiHidden/>
    <w:unhideWhenUsed/>
    <w:pPr>
      <w:spacing w:after="40" w:line="240" w:lineRule="auto"/>
    </w:pPr>
    <w:rPr>
      <w:sz w:val="18"/>
    </w:rPr>
  </w:style>
  <w:style w:type="character" w:styleId="937">
    <w:name w:val="Footnote Text Char"/>
    <w:link w:val="936"/>
    <w:uiPriority w:val="99"/>
    <w:rPr>
      <w:sz w:val="18"/>
    </w:rPr>
  </w:style>
  <w:style w:type="character" w:styleId="938">
    <w:name w:val="footnote reference"/>
    <w:basedOn w:val="955"/>
    <w:uiPriority w:val="99"/>
    <w:unhideWhenUsed/>
    <w:rPr>
      <w:vertAlign w:val="superscript"/>
    </w:rPr>
  </w:style>
  <w:style w:type="paragraph" w:styleId="939">
    <w:name w:val="endnote text"/>
    <w:basedOn w:val="953"/>
    <w:link w:val="940"/>
    <w:uiPriority w:val="99"/>
    <w:semiHidden/>
    <w:unhideWhenUsed/>
    <w:pPr>
      <w:spacing w:after="0" w:line="240" w:lineRule="auto"/>
    </w:pPr>
    <w:rPr>
      <w:sz w:val="20"/>
    </w:rPr>
  </w:style>
  <w:style w:type="character" w:styleId="940">
    <w:name w:val="Endnote Text Char"/>
    <w:link w:val="939"/>
    <w:uiPriority w:val="99"/>
    <w:rPr>
      <w:sz w:val="20"/>
    </w:rPr>
  </w:style>
  <w:style w:type="character" w:styleId="941">
    <w:name w:val="endnote reference"/>
    <w:basedOn w:val="955"/>
    <w:uiPriority w:val="99"/>
    <w:semiHidden/>
    <w:unhideWhenUsed/>
    <w:rPr>
      <w:vertAlign w:val="superscript"/>
    </w:rPr>
  </w:style>
  <w:style w:type="paragraph" w:styleId="942">
    <w:name w:val="toc 1"/>
    <w:basedOn w:val="953"/>
    <w:next w:val="953"/>
    <w:uiPriority w:val="39"/>
    <w:unhideWhenUsed/>
    <w:pPr>
      <w:ind w:left="0" w:right="0" w:firstLine="0"/>
      <w:spacing w:after="57"/>
    </w:pPr>
  </w:style>
  <w:style w:type="paragraph" w:styleId="943">
    <w:name w:val="toc 2"/>
    <w:basedOn w:val="953"/>
    <w:next w:val="953"/>
    <w:uiPriority w:val="39"/>
    <w:unhideWhenUsed/>
    <w:pPr>
      <w:ind w:left="283" w:right="0" w:firstLine="0"/>
      <w:spacing w:after="57"/>
    </w:pPr>
  </w:style>
  <w:style w:type="paragraph" w:styleId="944">
    <w:name w:val="toc 3"/>
    <w:basedOn w:val="953"/>
    <w:next w:val="953"/>
    <w:uiPriority w:val="39"/>
    <w:unhideWhenUsed/>
    <w:pPr>
      <w:ind w:left="567" w:right="0" w:firstLine="0"/>
      <w:spacing w:after="57"/>
    </w:pPr>
  </w:style>
  <w:style w:type="paragraph" w:styleId="945">
    <w:name w:val="toc 4"/>
    <w:basedOn w:val="953"/>
    <w:next w:val="953"/>
    <w:uiPriority w:val="39"/>
    <w:unhideWhenUsed/>
    <w:pPr>
      <w:ind w:left="850" w:right="0" w:firstLine="0"/>
      <w:spacing w:after="57"/>
    </w:pPr>
  </w:style>
  <w:style w:type="paragraph" w:styleId="946">
    <w:name w:val="toc 5"/>
    <w:basedOn w:val="953"/>
    <w:next w:val="953"/>
    <w:uiPriority w:val="39"/>
    <w:unhideWhenUsed/>
    <w:pPr>
      <w:ind w:left="1134" w:right="0" w:firstLine="0"/>
      <w:spacing w:after="57"/>
    </w:pPr>
  </w:style>
  <w:style w:type="paragraph" w:styleId="947">
    <w:name w:val="toc 6"/>
    <w:basedOn w:val="953"/>
    <w:next w:val="953"/>
    <w:uiPriority w:val="39"/>
    <w:unhideWhenUsed/>
    <w:pPr>
      <w:ind w:left="1417" w:right="0" w:firstLine="0"/>
      <w:spacing w:after="57"/>
    </w:pPr>
  </w:style>
  <w:style w:type="paragraph" w:styleId="948">
    <w:name w:val="toc 7"/>
    <w:basedOn w:val="953"/>
    <w:next w:val="953"/>
    <w:uiPriority w:val="39"/>
    <w:unhideWhenUsed/>
    <w:pPr>
      <w:ind w:left="1701" w:right="0" w:firstLine="0"/>
      <w:spacing w:after="57"/>
    </w:pPr>
  </w:style>
  <w:style w:type="paragraph" w:styleId="949">
    <w:name w:val="toc 8"/>
    <w:basedOn w:val="953"/>
    <w:next w:val="953"/>
    <w:uiPriority w:val="39"/>
    <w:unhideWhenUsed/>
    <w:pPr>
      <w:ind w:left="1984" w:right="0" w:firstLine="0"/>
      <w:spacing w:after="57"/>
    </w:pPr>
  </w:style>
  <w:style w:type="paragraph" w:styleId="950">
    <w:name w:val="toc 9"/>
    <w:basedOn w:val="953"/>
    <w:next w:val="953"/>
    <w:uiPriority w:val="39"/>
    <w:unhideWhenUsed/>
    <w:pPr>
      <w:ind w:left="2268" w:right="0" w:firstLine="0"/>
      <w:spacing w:after="57"/>
    </w:pPr>
  </w:style>
  <w:style w:type="paragraph" w:styleId="951">
    <w:name w:val="TOC Heading"/>
    <w:uiPriority w:val="39"/>
    <w:unhideWhenUsed/>
  </w:style>
  <w:style w:type="paragraph" w:styleId="952">
    <w:name w:val="table of figures"/>
    <w:basedOn w:val="953"/>
    <w:next w:val="953"/>
    <w:uiPriority w:val="99"/>
    <w:unhideWhenUsed/>
    <w:pPr>
      <w:spacing w:after="0" w:afterAutospacing="0"/>
    </w:pPr>
  </w:style>
  <w:style w:type="paragraph" w:styleId="953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954">
    <w:name w:val="Heading 1"/>
    <w:basedOn w:val="953"/>
    <w:next w:val="953"/>
    <w:link w:val="961"/>
    <w:uiPriority w:val="9"/>
    <w:qFormat/>
    <w:pPr>
      <w:keepLines/>
      <w:keepNext/>
      <w:spacing w:before="240" w:after="0" w:line="259" w:lineRule="auto"/>
      <w:outlineLvl w:val="0"/>
    </w:pPr>
    <w:rPr>
      <w:rFonts w:ascii="Calibri Light" w:hAnsi="Calibri Light" w:eastAsia="Times New Roman"/>
      <w:color w:val="2e74b5"/>
      <w:sz w:val="32"/>
      <w:szCs w:val="32"/>
    </w:rPr>
  </w:style>
  <w:style w:type="character" w:styleId="955" w:default="1">
    <w:name w:val="Default Paragraph Font"/>
    <w:uiPriority w:val="1"/>
    <w:semiHidden/>
    <w:unhideWhenUsed/>
  </w:style>
  <w:style w:type="table" w:styleId="9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7" w:default="1">
    <w:name w:val="No List"/>
    <w:uiPriority w:val="99"/>
    <w:semiHidden/>
    <w:unhideWhenUsed/>
  </w:style>
  <w:style w:type="paragraph" w:styleId="958">
    <w:name w:val="Balloon Text"/>
    <w:basedOn w:val="953"/>
    <w:link w:val="9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9" w:customStyle="1">
    <w:name w:val="Текст выноски Знак"/>
    <w:link w:val="958"/>
    <w:uiPriority w:val="99"/>
    <w:semiHidden/>
    <w:rPr>
      <w:rFonts w:ascii="Segoe UI" w:hAnsi="Segoe UI" w:cs="Segoe UI"/>
      <w:sz w:val="18"/>
      <w:szCs w:val="18"/>
    </w:rPr>
  </w:style>
  <w:style w:type="paragraph" w:styleId="960">
    <w:name w:val="No Spacing"/>
    <w:uiPriority w:val="1"/>
    <w:qFormat/>
    <w:rPr>
      <w:sz w:val="22"/>
      <w:szCs w:val="22"/>
      <w:lang w:eastAsia="en-US"/>
    </w:rPr>
  </w:style>
  <w:style w:type="character" w:styleId="961" w:customStyle="1">
    <w:name w:val="Заголовок 1 Знак"/>
    <w:link w:val="954"/>
    <w:uiPriority w:val="9"/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62">
    <w:name w:val="List Paragraph"/>
    <w:basedOn w:val="953"/>
    <w:uiPriority w:val="34"/>
    <w:qFormat/>
    <w:pPr>
      <w:contextualSpacing/>
      <w:ind w:left="720"/>
      <w:spacing w:after="160" w:line="256" w:lineRule="auto"/>
    </w:pPr>
  </w:style>
  <w:style w:type="character" w:styleId="963">
    <w:name w:val="Hyperlink"/>
    <w:uiPriority w:val="99"/>
    <w:unhideWhenUsed/>
    <w:rPr>
      <w:color w:val="0563c1"/>
      <w:u w:val="single"/>
    </w:rPr>
  </w:style>
  <w:style w:type="character" w:styleId="964">
    <w:name w:val="annotation reference"/>
    <w:uiPriority w:val="99"/>
    <w:semiHidden/>
    <w:unhideWhenUsed/>
    <w:rPr>
      <w:sz w:val="16"/>
      <w:szCs w:val="16"/>
    </w:rPr>
  </w:style>
  <w:style w:type="paragraph" w:styleId="965">
    <w:name w:val="annotation text"/>
    <w:basedOn w:val="953"/>
    <w:link w:val="966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6" w:customStyle="1">
    <w:name w:val="Текст примечания Знак"/>
    <w:link w:val="965"/>
    <w:uiPriority w:val="99"/>
    <w:semiHidden/>
    <w:rPr>
      <w:sz w:val="20"/>
      <w:szCs w:val="20"/>
    </w:rPr>
  </w:style>
  <w:style w:type="paragraph" w:styleId="967">
    <w:name w:val="annotation subject"/>
    <w:basedOn w:val="965"/>
    <w:next w:val="965"/>
    <w:link w:val="968"/>
    <w:uiPriority w:val="99"/>
    <w:semiHidden/>
    <w:unhideWhenUsed/>
    <w:rPr>
      <w:b/>
      <w:bCs/>
    </w:rPr>
  </w:style>
  <w:style w:type="character" w:styleId="968" w:customStyle="1">
    <w:name w:val="Тема примечания Знак"/>
    <w:link w:val="967"/>
    <w:uiPriority w:val="99"/>
    <w:semiHidden/>
    <w:rPr>
      <w:b/>
      <w:bCs/>
      <w:sz w:val="20"/>
      <w:szCs w:val="20"/>
    </w:rPr>
  </w:style>
  <w:style w:type="character" w:styleId="969">
    <w:name w:val="Strong"/>
    <w:uiPriority w:val="22"/>
    <w:qFormat/>
    <w:rPr>
      <w:b/>
      <w:bCs/>
    </w:rPr>
  </w:style>
  <w:style w:type="paragraph" w:styleId="970">
    <w:name w:val="Header"/>
    <w:basedOn w:val="953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basedOn w:val="955"/>
    <w:link w:val="970"/>
    <w:uiPriority w:val="99"/>
  </w:style>
  <w:style w:type="paragraph" w:styleId="972">
    <w:name w:val="Footer"/>
    <w:basedOn w:val="953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basedOn w:val="955"/>
    <w:link w:val="972"/>
    <w:uiPriority w:val="99"/>
  </w:style>
  <w:style w:type="paragraph" w:styleId="974">
    <w:name w:val="Normal (Web)"/>
    <w:basedOn w:val="95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nspd.gov.ru/#top_sectio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В Забайкалье 248 объектов вовлекли в жилищное строительство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revision>104</cp:revision>
  <dcterms:created xsi:type="dcterms:W3CDTF">2022-08-29T05:35:00Z</dcterms:created>
  <dcterms:modified xsi:type="dcterms:W3CDTF">2025-04-15T03:33:22Z</dcterms:modified>
</cp:coreProperties>
</file>