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8F4025">
        <w:rPr>
          <w:rFonts w:ascii="Times New Roman" w:hAnsi="Times New Roman"/>
          <w:b/>
          <w:sz w:val="24"/>
          <w:szCs w:val="24"/>
        </w:rPr>
        <w:t>31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янва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451BD" w:rsidRDefault="008F4025" w:rsidP="00D451B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бюджеты всех уровней Забайкалья поступило 87, 5 </w:t>
      </w:r>
      <w:proofErr w:type="gramStart"/>
      <w:r>
        <w:rPr>
          <w:b/>
          <w:sz w:val="28"/>
          <w:szCs w:val="28"/>
        </w:rPr>
        <w:t>млрд</w:t>
      </w:r>
      <w:proofErr w:type="gramEnd"/>
      <w:r>
        <w:rPr>
          <w:b/>
          <w:sz w:val="28"/>
          <w:szCs w:val="28"/>
        </w:rPr>
        <w:t xml:space="preserve"> рублей налогов и сборов за 2024 год</w:t>
      </w:r>
    </w:p>
    <w:p w:rsidR="008F4025" w:rsidRDefault="008F4025" w:rsidP="008F402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 2024 году </w:t>
      </w:r>
      <w:proofErr w:type="spellStart"/>
      <w:r>
        <w:rPr>
          <w:rFonts w:eastAsiaTheme="minorHAnsi"/>
          <w:color w:val="000000"/>
          <w:sz w:val="28"/>
          <w:szCs w:val="28"/>
          <w:lang w:eastAsia="en-US"/>
        </w:rPr>
        <w:t>бюджетообразующими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 xml:space="preserve"> налогами региона, обеспечив 81,4% поступлений, стали:</w:t>
      </w:r>
    </w:p>
    <w:p w:rsidR="008F4025" w:rsidRDefault="008F4025" w:rsidP="008F4025">
      <w:pPr>
        <w:pStyle w:val="a7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налог на доходы физических лиц – 43,4%;</w:t>
      </w:r>
    </w:p>
    <w:p w:rsidR="008F4025" w:rsidRDefault="008F4025" w:rsidP="008F4025">
      <w:pPr>
        <w:pStyle w:val="a7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налог на прибыль организаций – 24,3%;</w:t>
      </w:r>
    </w:p>
    <w:p w:rsidR="008F4025" w:rsidRDefault="008F4025" w:rsidP="008F4025">
      <w:pPr>
        <w:pStyle w:val="a7"/>
        <w:numPr>
          <w:ilvl w:val="0"/>
          <w:numId w:val="32"/>
        </w:numPr>
        <w:shd w:val="clear" w:color="auto" w:fill="FFFFFF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налог на добычу полезных ископаемых – 7,2%;</w:t>
      </w:r>
    </w:p>
    <w:p w:rsidR="008F4025" w:rsidRDefault="008F4025" w:rsidP="008F4025">
      <w:pPr>
        <w:pStyle w:val="a7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налог на имущество организаций – 6,5%.</w:t>
      </w:r>
    </w:p>
    <w:p w:rsidR="008F4025" w:rsidRDefault="008F4025" w:rsidP="008F402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консолидированный бюджет Забайкальского края за 2024 год поступило 87,5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 – на 11 млрд рублей или 11% больше, чем в 2023 году.</w:t>
      </w:r>
    </w:p>
    <w:p w:rsidR="008F4025" w:rsidRDefault="008F4025" w:rsidP="008F4025">
      <w:pPr>
        <w:pStyle w:val="a7"/>
        <w:shd w:val="clear" w:color="auto" w:fill="FFFFFF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Поступления по имущественным налогам в 2024 году выросли на 10% и составили 7,9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млрд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рублей.</w:t>
      </w:r>
    </w:p>
    <w:p w:rsidR="008F4025" w:rsidRDefault="008F4025" w:rsidP="008F4025">
      <w:pPr>
        <w:pStyle w:val="a7"/>
        <w:shd w:val="clear" w:color="auto" w:fill="FFFFFF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 Немаловажную роль в обеспечении поступлений сыграла работа по принудительному взысканию задолженности. По итогам данной работы поступления в консолидированный бюджет Российской Федерации составили 22,2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млрд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рублей.</w:t>
      </w:r>
    </w:p>
    <w:p w:rsidR="008F4025" w:rsidRDefault="008F4025" w:rsidP="008F402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Всего за прошлый год УФНС России по Забайкальскому краю мобилизовано 167,6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млрд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рублей налогов и сборов в консолидированный бюджет Российской Федерации, что на 22 млрд рублей или 15% больше поступлений 2023 года.</w:t>
      </w:r>
    </w:p>
    <w:p w:rsidR="008F4025" w:rsidRDefault="008F4025" w:rsidP="008F402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F4025" w:rsidRDefault="008F4025" w:rsidP="008F402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Рост поступлений налогов в бюджет Забайкальского края обеспечил  финансирование социально-экономических проектов, в том числе в области здравоохранения и образования, а также создал достаточно стабильное функционирование экономики региона в сегодняшних условиях.   </w:t>
      </w:r>
    </w:p>
    <w:p w:rsidR="002A2E55" w:rsidRPr="00BC2D46" w:rsidRDefault="002A2E55" w:rsidP="008F4025">
      <w:pPr>
        <w:pStyle w:val="a7"/>
        <w:shd w:val="clear" w:color="auto" w:fill="FFFFFF"/>
        <w:spacing w:after="0"/>
        <w:ind w:firstLine="360"/>
        <w:jc w:val="both"/>
        <w:rPr>
          <w:rStyle w:val="af"/>
          <w:b w:val="0"/>
          <w:bCs w:val="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6B8" w:rsidRDefault="00C516B8" w:rsidP="00DC2D47">
      <w:pPr>
        <w:spacing w:after="0" w:line="240" w:lineRule="auto"/>
      </w:pPr>
      <w:r>
        <w:separator/>
      </w:r>
    </w:p>
  </w:endnote>
  <w:endnote w:type="continuationSeparator" w:id="0">
    <w:p w:rsidR="00C516B8" w:rsidRDefault="00C516B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6B8" w:rsidRDefault="00C516B8" w:rsidP="00DC2D47">
      <w:pPr>
        <w:spacing w:after="0" w:line="240" w:lineRule="auto"/>
      </w:pPr>
      <w:r>
        <w:separator/>
      </w:r>
    </w:p>
  </w:footnote>
  <w:footnote w:type="continuationSeparator" w:id="0">
    <w:p w:rsidR="00C516B8" w:rsidRDefault="00C516B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C2D4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46A0A5A"/>
    <w:multiLevelType w:val="hybridMultilevel"/>
    <w:tmpl w:val="B38EFFA0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54BE44D0"/>
    <w:multiLevelType w:val="hybridMultilevel"/>
    <w:tmpl w:val="5DBC568C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3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7"/>
  </w:num>
  <w:num w:numId="3">
    <w:abstractNumId w:val="17"/>
  </w:num>
  <w:num w:numId="4">
    <w:abstractNumId w:val="17"/>
  </w:num>
  <w:num w:numId="5">
    <w:abstractNumId w:val="0"/>
  </w:num>
  <w:num w:numId="6">
    <w:abstractNumId w:val="25"/>
  </w:num>
  <w:num w:numId="7">
    <w:abstractNumId w:val="11"/>
  </w:num>
  <w:num w:numId="8">
    <w:abstractNumId w:val="1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13"/>
  </w:num>
  <w:num w:numId="13">
    <w:abstractNumId w:val="3"/>
  </w:num>
  <w:num w:numId="14">
    <w:abstractNumId w:val="17"/>
  </w:num>
  <w:num w:numId="15">
    <w:abstractNumId w:val="7"/>
  </w:num>
  <w:num w:numId="16">
    <w:abstractNumId w:val="9"/>
  </w:num>
  <w:num w:numId="17">
    <w:abstractNumId w:val="2"/>
  </w:num>
  <w:num w:numId="18">
    <w:abstractNumId w:val="26"/>
  </w:num>
  <w:num w:numId="19">
    <w:abstractNumId w:val="24"/>
  </w:num>
  <w:num w:numId="20">
    <w:abstractNumId w:val="15"/>
  </w:num>
  <w:num w:numId="21">
    <w:abstractNumId w:val="4"/>
  </w:num>
  <w:num w:numId="22">
    <w:abstractNumId w:val="21"/>
  </w:num>
  <w:num w:numId="23">
    <w:abstractNumId w:val="19"/>
  </w:num>
  <w:num w:numId="24">
    <w:abstractNumId w:val="18"/>
  </w:num>
  <w:num w:numId="25">
    <w:abstractNumId w:val="10"/>
  </w:num>
  <w:num w:numId="26">
    <w:abstractNumId w:val="23"/>
  </w:num>
  <w:num w:numId="27">
    <w:abstractNumId w:val="22"/>
  </w:num>
  <w:num w:numId="28">
    <w:abstractNumId w:val="14"/>
  </w:num>
  <w:num w:numId="29">
    <w:abstractNumId w:val="5"/>
  </w:num>
  <w:num w:numId="30">
    <w:abstractNumId w:val="6"/>
  </w:num>
  <w:num w:numId="31">
    <w:abstractNumId w:val="20"/>
  </w:num>
  <w:num w:numId="3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24049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402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6B8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451BD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2025-01-31T06:15:00Z</dcterms:created>
  <dcterms:modified xsi:type="dcterms:W3CDTF">2025-01-31T06:15:00Z</dcterms:modified>
</cp:coreProperties>
</file>