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AC351" w14:textId="77777777" w:rsidR="008511BB" w:rsidRPr="008511BB" w:rsidRDefault="008511BB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11BB">
        <w:rPr>
          <w:rFonts w:ascii="Times New Roman" w:hAnsi="Times New Roman" w:cs="Times New Roman"/>
          <w:b/>
          <w:bCs/>
          <w:sz w:val="28"/>
          <w:szCs w:val="28"/>
        </w:rPr>
        <w:t xml:space="preserve">С 1 января в НК РФ вводят понятие счета цифрового рубля Федеральный закон от 19.12.2023 N 610-ФЗ </w:t>
      </w:r>
    </w:p>
    <w:p w14:paraId="7086D2B7" w14:textId="77777777" w:rsidR="008511BB" w:rsidRDefault="008511BB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1BB">
        <w:rPr>
          <w:rFonts w:ascii="Times New Roman" w:hAnsi="Times New Roman" w:cs="Times New Roman"/>
          <w:bCs/>
          <w:sz w:val="28"/>
          <w:szCs w:val="28"/>
        </w:rPr>
        <w:t xml:space="preserve">Это счет, открытый оператором платформы цифрового рубля по договору счета такого рубля. </w:t>
      </w:r>
    </w:p>
    <w:p w14:paraId="05CC770D" w14:textId="77777777" w:rsidR="008511BB" w:rsidRDefault="008511BB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1BB">
        <w:rPr>
          <w:rFonts w:ascii="Times New Roman" w:hAnsi="Times New Roman" w:cs="Times New Roman"/>
          <w:bCs/>
          <w:sz w:val="28"/>
          <w:szCs w:val="28"/>
        </w:rPr>
        <w:t xml:space="preserve">Предусмотрели возможность взыскания недоимок за счет цифровых рублей в ситуации, когда нет или недостаточно денег (драгметаллов) на счетах налогоплательщика либо его электронных денег. С 1 января 2025 года налоговики могут приостанавливать операции по счетам цифрового рубля, а также истребовать у операторов платформы справки о таких счетах, об остатках денег на них и др. Предусмотрели освобождение от НДС операций с цифровым рублем и правила признания доходов и расходов по операциям с ним при налогообложении прибыли. </w:t>
      </w:r>
    </w:p>
    <w:p w14:paraId="1996B9A6" w14:textId="7F4E9C3B" w:rsidR="008511BB" w:rsidRDefault="008511BB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8511BB">
        <w:rPr>
          <w:rFonts w:ascii="Times New Roman" w:hAnsi="Times New Roman" w:cs="Times New Roman"/>
          <w:bCs/>
          <w:sz w:val="28"/>
          <w:szCs w:val="28"/>
        </w:rPr>
        <w:t xml:space="preserve">Для НДФЛ установили, что датой получения дохода считается день его перечисления на счет цифрового рубля С 1 января увеличивают стандартные вычеты на детей и предельный доход для их предоставления Федеральный закон от 12.07.2024 N 176-ФЗ Стандартные вычеты на детей: - на второго ребенка - 2 800 руб.; - на третьего и каждого следующего ребенка - 6 000 руб.; - на ребенка-инвалида, находящегося на обеспечении опекуна, попечителя, приемного родителя, супруга (супруги) приемного родителя, - 12 000 руб. </w:t>
      </w:r>
    </w:p>
    <w:p w14:paraId="6C95473F" w14:textId="2D93C91A" w:rsidR="008511BB" w:rsidRDefault="008511BB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1BB">
        <w:rPr>
          <w:rFonts w:ascii="Times New Roman" w:hAnsi="Times New Roman" w:cs="Times New Roman"/>
          <w:bCs/>
          <w:sz w:val="28"/>
          <w:szCs w:val="28"/>
        </w:rPr>
        <w:t>Одновременно увеличивают совокупный доход для применения вычетов - с 350 тыс. до 450 тыс. руб.</w:t>
      </w:r>
    </w:p>
    <w:p w14:paraId="0FE9D9B6" w14:textId="16483E93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9650D"/>
    <w:rsid w:val="0084632E"/>
    <w:rsid w:val="008511BB"/>
    <w:rsid w:val="008857CA"/>
    <w:rsid w:val="0098212F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1180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6</cp:revision>
  <dcterms:created xsi:type="dcterms:W3CDTF">2025-02-10T01:36:00Z</dcterms:created>
  <dcterms:modified xsi:type="dcterms:W3CDTF">2025-06-20T00:06:00Z</dcterms:modified>
</cp:coreProperties>
</file>